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emf" ContentType="image/x-emf"/>
  <Default Extension="gif" ContentType="image/gi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27C551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margin">
              <wp:posOffset>2598420</wp:posOffset>
            </wp:positionH>
            <wp:positionV relativeFrom="paragraph">
              <wp:posOffset>-601345</wp:posOffset>
            </wp:positionV>
            <wp:extent cx="638175" cy="827405"/>
            <wp:effectExtent l="0" t="0" r="0" b="0"/>
            <wp:wrapNone/>
            <wp:docPr id="1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38175" cy="827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5B129BB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INSTITUTO FEDERAL DE EDUCAÇÃO, CIÊNCIA E TECNOLOGIA DO AMAPÁ</w:t>
      </w:r>
    </w:p>
    <w:p w14:paraId="40E0468E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  <w:r>
        <w:rPr>
          <w:rFonts w:hint="default" w:ascii="Times New Roman" w:hAnsi="Times New Roman"/>
          <w:bCs/>
        </w:rPr>
        <w:t>CURSO DE TECNOLOGIA EM COMÉRCIO EXTERIOR</w:t>
      </w:r>
    </w:p>
    <w:p w14:paraId="7824EAD7">
      <w:pPr>
        <w:pStyle w:val="5"/>
        <w:widowControl/>
        <w:spacing w:before="0" w:after="0" w:line="360" w:lineRule="auto"/>
        <w:jc w:val="center"/>
        <w:rPr>
          <w:rFonts w:hint="default" w:ascii="Times New Roman" w:hAnsi="Times New Roman" w:cs="Times New Roman"/>
          <w:bCs/>
          <w:lang w:val="pt-BR"/>
        </w:rPr>
      </w:pPr>
      <w:r>
        <w:rPr>
          <w:rFonts w:ascii="Times New Roman" w:hAnsi="Times New Roman" w:cs="Times New Roman"/>
          <w:bCs/>
        </w:rPr>
        <w:t xml:space="preserve">CAMPUS </w:t>
      </w:r>
      <w:r>
        <w:rPr>
          <w:rFonts w:hint="default" w:ascii="Times New Roman" w:hAnsi="Times New Roman" w:cs="Times New Roman"/>
          <w:bCs/>
          <w:lang w:val="pt-BR"/>
        </w:rPr>
        <w:t>SANTANA</w:t>
      </w:r>
    </w:p>
    <w:p w14:paraId="694EB477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7185765B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46E726F8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6DCAC0B5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3B9F45FE">
      <w:pPr>
        <w:pStyle w:val="5"/>
        <w:widowControl/>
        <w:spacing w:before="0" w:after="0" w:line="360" w:lineRule="auto"/>
        <w:jc w:val="center"/>
        <w:rPr>
          <w:rFonts w:hint="default" w:ascii="Times New Roman" w:hAnsi="Times New Roman"/>
          <w:bCs/>
        </w:rPr>
      </w:pPr>
      <w:bookmarkStart w:id="0" w:name="_Toc266864362"/>
      <w:bookmarkEnd w:id="0"/>
      <w:bookmarkStart w:id="1" w:name="_Toc266865604"/>
      <w:bookmarkEnd w:id="1"/>
      <w:bookmarkStart w:id="2" w:name="_Toc257729037"/>
      <w:bookmarkEnd w:id="2"/>
      <w:bookmarkStart w:id="3" w:name="_Toc257729462"/>
      <w:bookmarkEnd w:id="3"/>
      <w:bookmarkStart w:id="4" w:name="_Toc257729425"/>
      <w:bookmarkEnd w:id="4"/>
      <w:r>
        <w:rPr>
          <w:rFonts w:hint="default" w:ascii="Times New Roman" w:hAnsi="Times New Roman"/>
          <w:bCs/>
        </w:rPr>
        <w:t>GABRIEL MORAES DE SOUZA</w:t>
      </w:r>
    </w:p>
    <w:p w14:paraId="5DEFB581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  <w:r>
        <w:rPr>
          <w:rFonts w:hint="default" w:ascii="Times New Roman" w:hAnsi="Times New Roman"/>
          <w:bCs/>
        </w:rPr>
        <w:t>NAILA SERRA MONTEIRO</w:t>
      </w:r>
    </w:p>
    <w:p w14:paraId="4BE851F0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17195C33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418676F1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22BDB248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35C8755D">
      <w:pPr>
        <w:pStyle w:val="5"/>
        <w:widowControl/>
        <w:spacing w:before="0" w:after="0" w:line="360" w:lineRule="auto"/>
        <w:jc w:val="center"/>
        <w:rPr>
          <w:rFonts w:hint="default" w:ascii="Times New Roman" w:hAnsi="Times New Roman"/>
          <w:b/>
          <w:bCs w:val="0"/>
        </w:rPr>
      </w:pPr>
      <w:bookmarkStart w:id="5" w:name="_Toc257729426"/>
      <w:bookmarkEnd w:id="5"/>
      <w:bookmarkStart w:id="6" w:name="_Toc257729038"/>
      <w:bookmarkEnd w:id="6"/>
      <w:bookmarkStart w:id="7" w:name="_Toc266864363"/>
      <w:bookmarkEnd w:id="7"/>
      <w:bookmarkStart w:id="8" w:name="_Toc257729463"/>
      <w:bookmarkEnd w:id="8"/>
      <w:bookmarkStart w:id="9" w:name="_Toc266865605"/>
      <w:bookmarkEnd w:id="9"/>
      <w:r>
        <w:rPr>
          <w:rFonts w:hint="default" w:ascii="Times New Roman" w:hAnsi="Times New Roman"/>
          <w:b/>
          <w:bCs w:val="0"/>
        </w:rPr>
        <w:t>A IMPORTÂNCIA ESTRATÉGICA DA LÍNGUA ESPANHOLA NO CONTEXTO DO</w:t>
      </w:r>
    </w:p>
    <w:p w14:paraId="4BD9D4AC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/>
          <w:bCs w:val="0"/>
        </w:rPr>
      </w:pPr>
      <w:r>
        <w:rPr>
          <w:rFonts w:hint="default" w:ascii="Times New Roman" w:hAnsi="Times New Roman"/>
          <w:b/>
          <w:bCs w:val="0"/>
        </w:rPr>
        <w:t>COMÉRCIO EXTERIOR BRASILEIRO</w:t>
      </w:r>
    </w:p>
    <w:p w14:paraId="5B3EF121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126F2A9C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7CCA54CC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1614AB26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4D4D8BEE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1247080C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71DD6706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230D2DD3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263CB480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700ABD1A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7D294163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7A3D5322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2C27CAEF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69D0634A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0254F458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</w:p>
    <w:p w14:paraId="4823B45B">
      <w:pPr>
        <w:pStyle w:val="5"/>
        <w:widowControl/>
        <w:spacing w:before="0" w:after="0" w:line="360" w:lineRule="auto"/>
        <w:jc w:val="both"/>
        <w:rPr>
          <w:rFonts w:ascii="Times New Roman" w:hAnsi="Times New Roman" w:cs="Times New Roman"/>
          <w:bCs/>
        </w:rPr>
      </w:pPr>
    </w:p>
    <w:p w14:paraId="696720C7">
      <w:pPr>
        <w:pStyle w:val="5"/>
        <w:widowControl/>
        <w:spacing w:before="0" w:after="0" w:line="360" w:lineRule="auto"/>
        <w:jc w:val="center"/>
        <w:rPr>
          <w:rFonts w:hint="default"/>
        </w:rPr>
      </w:pPr>
      <w:bookmarkStart w:id="10" w:name="_Toc266865607"/>
      <w:bookmarkEnd w:id="10"/>
      <w:bookmarkStart w:id="11" w:name="_Toc257729428"/>
      <w:bookmarkEnd w:id="11"/>
      <w:bookmarkStart w:id="12" w:name="_Toc257729040"/>
      <w:bookmarkEnd w:id="12"/>
      <w:bookmarkStart w:id="13" w:name="_Toc257729465"/>
      <w:bookmarkEnd w:id="13"/>
      <w:bookmarkStart w:id="14" w:name="_Toc266864365"/>
      <w:bookmarkEnd w:id="14"/>
      <w:r>
        <w:rPr>
          <w:rFonts w:hint="default"/>
        </w:rPr>
        <w:t>SANTANA, AP</w:t>
      </w:r>
    </w:p>
    <w:p w14:paraId="79DFA9F1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  <w:r>
        <w:rPr>
          <w:rFonts w:hint="default"/>
        </w:rPr>
        <w:t>202</w:t>
      </w:r>
      <w:r>
        <w:rPr>
          <w:rFonts w:hint="default"/>
          <w:lang w:val="pt-BR"/>
        </w:rPr>
        <w:t>6</w:t>
      </w:r>
      <w:r>
        <w:br w:type="page"/>
      </w:r>
    </w:p>
    <w:p w14:paraId="17934CE4">
      <w:pPr>
        <w:widowControl/>
        <w:spacing w:before="0" w:after="0" w:line="360" w:lineRule="auto"/>
        <w:jc w:val="center"/>
        <w:rPr>
          <w:rFonts w:hint="default" w:ascii="Times New Roman" w:hAnsi="Times New Roman"/>
        </w:rPr>
      </w:pPr>
      <w:r>
        <w:rPr>
          <w:rFonts w:hint="default" w:ascii="Times New Roman" w:hAnsi="Times New Roman"/>
        </w:rPr>
        <w:t>GABRIEL MORAES DE SOUZA</w:t>
      </w:r>
    </w:p>
    <w:p w14:paraId="19DDFBB2">
      <w:pPr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  <w:r>
        <w:rPr>
          <w:rFonts w:hint="default" w:ascii="Times New Roman" w:hAnsi="Times New Roman"/>
        </w:rPr>
        <w:t>NAILA SERRA MONTEIRO</w:t>
      </w:r>
    </w:p>
    <w:p w14:paraId="680F0B61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D368C5E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E5D44AD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9F02108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97DB371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CE17128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40504C9">
      <w:pPr>
        <w:spacing w:before="0" w:after="0" w:line="360" w:lineRule="auto"/>
        <w:jc w:val="center"/>
        <w:rPr>
          <w:rFonts w:hint="default" w:ascii="Times New Roman" w:hAnsi="Times New Roman"/>
          <w:b/>
          <w:bCs/>
          <w:sz w:val="24"/>
          <w:szCs w:val="24"/>
        </w:rPr>
      </w:pPr>
      <w:r>
        <w:rPr>
          <w:rFonts w:hint="default" w:ascii="Times New Roman" w:hAnsi="Times New Roman"/>
          <w:b/>
          <w:bCs/>
          <w:sz w:val="24"/>
          <w:szCs w:val="24"/>
        </w:rPr>
        <w:t>A IMPORTÂNCIA ESTRATÉGICA DA LÍNGUA ESPANHOLA NO CONTEXTO DO</w:t>
      </w:r>
    </w:p>
    <w:p w14:paraId="196B444B">
      <w:pPr>
        <w:spacing w:before="0"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/>
          <w:b/>
          <w:bCs/>
          <w:sz w:val="24"/>
          <w:szCs w:val="24"/>
        </w:rPr>
        <w:t>COMÉRCIO EXTERIOR BRASILEIRO</w:t>
      </w:r>
    </w:p>
    <w:p w14:paraId="7D497530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2E76A49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2211E92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A040D7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27DBD98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499449B">
      <w:pPr>
        <w:spacing w:before="0" w:after="0" w:line="240" w:lineRule="auto"/>
        <w:ind w:left="4536" w:right="-1" w:firstLine="0"/>
        <w:jc w:val="both"/>
        <w:rPr>
          <w:rFonts w:hint="default" w:ascii="Times New Roman" w:hAnsi="Times New Roman" w:cs="Times New Roman"/>
          <w:lang w:val="pt-BR"/>
        </w:rPr>
      </w:pPr>
      <w:r>
        <w:rPr>
          <w:rFonts w:ascii="Times New Roman" w:hAnsi="Times New Roman" w:cs="Times New Roman"/>
        </w:rPr>
        <w:t>Trabalho de Conclusão de Curso apresentado a coordenação do curso</w:t>
      </w:r>
      <w:r>
        <w:rPr>
          <w:rFonts w:hint="default" w:ascii="Times New Roman" w:hAnsi="Times New Roman" w:cs="Times New Roman"/>
          <w:lang w:val="pt-BR"/>
        </w:rPr>
        <w:t xml:space="preserve"> de Tecnologia em Comércio Exterior, </w:t>
      </w:r>
      <w:r>
        <w:rPr>
          <w:rFonts w:ascii="Times New Roman" w:hAnsi="Times New Roman" w:cs="Times New Roman"/>
        </w:rPr>
        <w:t xml:space="preserve">como requisito avaliativo para obtenção do título de </w:t>
      </w:r>
      <w:r>
        <w:rPr>
          <w:rFonts w:hint="default" w:ascii="Times New Roman" w:hAnsi="Times New Roman" w:cs="Times New Roman"/>
          <w:lang w:val="pt-BR"/>
        </w:rPr>
        <w:t>Tecnólogos em Comércio Exterior.</w:t>
      </w:r>
    </w:p>
    <w:p w14:paraId="6914F81F">
      <w:pPr>
        <w:spacing w:before="0" w:after="0" w:line="240" w:lineRule="auto"/>
        <w:ind w:left="4536" w:right="-1" w:firstLine="0"/>
        <w:jc w:val="both"/>
        <w:rPr>
          <w:rFonts w:hint="default" w:ascii="Times New Roman" w:hAnsi="Times New Roman" w:cs="Times New Roman"/>
          <w:lang w:val="pt-BR"/>
        </w:rPr>
      </w:pPr>
      <w:r>
        <w:rPr>
          <w:rFonts w:ascii="Times New Roman" w:hAnsi="Times New Roman" w:cs="Times New Roman"/>
        </w:rPr>
        <w:t>Orientador:</w:t>
      </w:r>
      <w:r>
        <w:rPr>
          <w:rFonts w:hint="default" w:ascii="Times New Roman" w:hAnsi="Times New Roman" w:cs="Times New Roman"/>
          <w:lang w:val="pt-BR"/>
        </w:rPr>
        <w:t xml:space="preserve"> Prof. Me.</w:t>
      </w:r>
      <w:r>
        <w:rPr>
          <w:rFonts w:ascii="Times New Roman" w:hAnsi="Times New Roman" w:cs="Times New Roman"/>
        </w:rPr>
        <w:t xml:space="preserve"> </w:t>
      </w:r>
      <w:r>
        <w:rPr>
          <w:rFonts w:hint="default" w:ascii="Times New Roman" w:hAnsi="Times New Roman" w:cs="Times New Roman"/>
          <w:lang w:val="pt-BR"/>
        </w:rPr>
        <w:t>Daniel Nazaré de Souza Madureira</w:t>
      </w:r>
    </w:p>
    <w:p w14:paraId="5800B784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AA99FE4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C4CE437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1262BC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1129ECF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BFDC573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9C3E8E8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71E54FE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310B805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85CB6FD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AD27DD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D7CFBF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5B95345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78D4968">
      <w:pPr>
        <w:pStyle w:val="5"/>
        <w:widowControl/>
        <w:spacing w:before="0" w:after="0" w:line="360" w:lineRule="auto"/>
        <w:jc w:val="center"/>
        <w:rPr>
          <w:rFonts w:hint="default" w:ascii="Times New Roman" w:hAnsi="Times New Roman"/>
          <w:bCs/>
        </w:rPr>
      </w:pPr>
      <w:r>
        <w:rPr>
          <w:rFonts w:hint="default" w:ascii="Times New Roman" w:hAnsi="Times New Roman"/>
          <w:bCs/>
        </w:rPr>
        <w:t>SANTANA, AP</w:t>
      </w:r>
    </w:p>
    <w:p w14:paraId="4FB6EE35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  <w:r>
        <w:rPr>
          <w:rFonts w:hint="default" w:ascii="Times New Roman" w:hAnsi="Times New Roman"/>
          <w:bCs/>
        </w:rPr>
        <w:t>202</w:t>
      </w:r>
      <w:r>
        <w:rPr>
          <w:rFonts w:hint="default" w:ascii="Times New Roman" w:hAnsi="Times New Roman"/>
          <w:bCs/>
          <w:lang w:val="pt-BR"/>
        </w:rPr>
        <w:t>6</w:t>
      </w:r>
      <w:r>
        <w:br w:type="page"/>
      </w:r>
    </w:p>
    <w:p w14:paraId="3933DF48">
      <w:pPr>
        <w:pStyle w:val="5"/>
        <w:widowControl/>
        <w:spacing w:before="0" w:after="0" w:line="360" w:lineRule="auto"/>
        <w:rPr>
          <w:rFonts w:hint="default" w:ascii="Times New Roman" w:hAnsi="Times New Roman" w:cs="Times New Roman"/>
          <w:lang w:val="pt-BR"/>
        </w:rPr>
      </w:pPr>
      <w:r>
        <w:rPr>
          <w:rFonts w:hint="default" w:ascii="Times New Roman" w:hAnsi="Times New Roman" w:cs="Times New Roman"/>
          <w:lang w:val="pt-BR"/>
        </w:rPr>
        <w:object>
          <v:shape id="_x0000_i1025" o:spt="75" type="#_x0000_t75" style="height:652.5pt;width:417.75pt;" o:ole="t" filled="f" o:preferrelative="t" stroked="f" coordsize="21600,21600">
            <v:path/>
            <v:fill on="f" focussize="0,0"/>
            <v:stroke on="f"/>
            <v:imagedata r:id="rId9" o:title=""/>
            <o:lock v:ext="edit" aspectratio="t"/>
            <w10:wrap type="none"/>
            <w10:anchorlock/>
          </v:shape>
          <o:OLEObject Type="Embed" ProgID="" ShapeID="_x0000_i1025" DrawAspect="Content" ObjectID="_1468075725" r:id="rId8">
            <o:LockedField>false</o:LockedField>
          </o:OLEObject>
        </w:object>
      </w:r>
    </w:p>
    <w:p w14:paraId="29039873">
      <w:pPr>
        <w:pStyle w:val="5"/>
        <w:widowControl/>
        <w:spacing w:before="0" w:after="0" w:line="360" w:lineRule="auto"/>
        <w:rPr>
          <w:rFonts w:ascii="Times New Roman" w:hAnsi="Times New Roman" w:cs="Times New Roman"/>
        </w:rPr>
      </w:pPr>
    </w:p>
    <w:p w14:paraId="5DAEE9DE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EED7514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3DE455A">
      <w:pPr>
        <w:pStyle w:val="5"/>
        <w:widowControl/>
        <w:spacing w:before="0" w:after="0" w:line="360" w:lineRule="auto"/>
        <w:jc w:val="center"/>
        <w:rPr>
          <w:rFonts w:hint="default" w:ascii="Times New Roman" w:hAnsi="Times New Roman"/>
        </w:rPr>
      </w:pPr>
      <w:r>
        <w:rPr>
          <w:rFonts w:hint="default" w:ascii="Times New Roman" w:hAnsi="Times New Roman"/>
        </w:rPr>
        <w:t>GABRIEL MORAES DE SOUZA</w:t>
      </w:r>
    </w:p>
    <w:p w14:paraId="639A574E">
      <w:pPr>
        <w:pStyle w:val="5"/>
        <w:widowControl/>
        <w:spacing w:before="0" w:after="0" w:line="360" w:lineRule="auto"/>
        <w:jc w:val="center"/>
        <w:rPr>
          <w:rFonts w:ascii="Times New Roman" w:hAnsi="Times New Roman" w:cs="Times New Roman"/>
          <w:bCs/>
        </w:rPr>
      </w:pPr>
      <w:r>
        <w:rPr>
          <w:rFonts w:hint="default" w:ascii="Times New Roman" w:hAnsi="Times New Roman"/>
        </w:rPr>
        <w:t>NAILA SERRA MONTEIRO</w:t>
      </w:r>
    </w:p>
    <w:p w14:paraId="4FF87F10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6315159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8926A9E">
      <w:pPr>
        <w:spacing w:before="0"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FB3F5D3">
      <w:pPr>
        <w:spacing w:before="0" w:after="0" w:line="360" w:lineRule="auto"/>
        <w:jc w:val="center"/>
        <w:rPr>
          <w:rFonts w:hint="default" w:ascii="Times New Roman" w:hAnsi="Times New Roman"/>
          <w:b/>
          <w:bCs/>
          <w:sz w:val="24"/>
          <w:szCs w:val="24"/>
        </w:rPr>
      </w:pPr>
      <w:r>
        <w:rPr>
          <w:rFonts w:hint="default" w:ascii="Times New Roman" w:hAnsi="Times New Roman"/>
          <w:b/>
          <w:bCs/>
          <w:sz w:val="24"/>
          <w:szCs w:val="24"/>
        </w:rPr>
        <w:t>A IMPORTÂNCIA ESTRATÉGICA DA LÍNGUA ESPANHOLA NO CONTEXTO DO</w:t>
      </w:r>
    </w:p>
    <w:p w14:paraId="4CD047B3">
      <w:pPr>
        <w:spacing w:before="0"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/>
          <w:b/>
          <w:bCs/>
          <w:sz w:val="24"/>
          <w:szCs w:val="24"/>
        </w:rPr>
        <w:t>COMÉRCIO EXTERIOR BRASILEIRO</w:t>
      </w:r>
    </w:p>
    <w:p w14:paraId="7B703326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DE83876">
      <w:pPr>
        <w:spacing w:before="0" w:after="0" w:line="240" w:lineRule="auto"/>
        <w:ind w:left="4536" w:right="-1" w:firstLine="0"/>
        <w:jc w:val="both"/>
        <w:rPr>
          <w:rFonts w:hint="default" w:ascii="Times New Roman" w:hAnsi="Times New Roman" w:cs="Times New Roman"/>
          <w:lang w:val="pt-BR"/>
        </w:rPr>
      </w:pPr>
      <w:r>
        <w:rPr>
          <w:rFonts w:ascii="Times New Roman" w:hAnsi="Times New Roman" w:cs="Times New Roman"/>
        </w:rPr>
        <w:t>Trabalho de Conclusão de Curso apresentado a coordenação do curso</w:t>
      </w:r>
      <w:r>
        <w:rPr>
          <w:rFonts w:hint="default" w:ascii="Times New Roman" w:hAnsi="Times New Roman" w:cs="Times New Roman"/>
          <w:lang w:val="pt-BR"/>
        </w:rPr>
        <w:t xml:space="preserve"> de Tecnologia em Comércio Exterior, </w:t>
      </w:r>
      <w:r>
        <w:rPr>
          <w:rFonts w:ascii="Times New Roman" w:hAnsi="Times New Roman" w:cs="Times New Roman"/>
        </w:rPr>
        <w:t xml:space="preserve">como requisito avaliativo para obtenção do título de </w:t>
      </w:r>
      <w:r>
        <w:rPr>
          <w:rFonts w:hint="default" w:ascii="Times New Roman" w:hAnsi="Times New Roman" w:cs="Times New Roman"/>
          <w:lang w:val="pt-BR"/>
        </w:rPr>
        <w:t>Tecnólogos em Comércio Exterior.</w:t>
      </w:r>
    </w:p>
    <w:p w14:paraId="50575013">
      <w:pPr>
        <w:spacing w:before="0" w:after="0" w:line="240" w:lineRule="auto"/>
        <w:ind w:left="4536" w:right="-1" w:firstLine="0"/>
        <w:jc w:val="both"/>
        <w:rPr>
          <w:rFonts w:hint="default" w:ascii="Times New Roman" w:hAnsi="Times New Roman" w:cs="Times New Roman"/>
          <w:lang w:val="pt-BR"/>
        </w:rPr>
      </w:pPr>
      <w:r>
        <w:rPr>
          <w:rFonts w:ascii="Times New Roman" w:hAnsi="Times New Roman" w:cs="Times New Roman"/>
        </w:rPr>
        <w:t>Orientador:</w:t>
      </w:r>
      <w:r>
        <w:rPr>
          <w:rFonts w:hint="default" w:ascii="Times New Roman" w:hAnsi="Times New Roman" w:cs="Times New Roman"/>
          <w:lang w:val="pt-BR"/>
        </w:rPr>
        <w:t xml:space="preserve"> Prof. Me. Daniel Nazaré de Souza Madureira</w:t>
      </w:r>
    </w:p>
    <w:p w14:paraId="794B2225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C9AE56">
      <w:pPr>
        <w:spacing w:before="0" w:after="0" w:line="240" w:lineRule="auto"/>
        <w:ind w:left="4536" w:right="-1" w:firstLine="0"/>
        <w:jc w:val="both"/>
        <w:rPr>
          <w:rFonts w:ascii="Times New Roman" w:hAnsi="Times New Roman" w:cs="Times New Roman"/>
        </w:rPr>
      </w:pPr>
    </w:p>
    <w:p w14:paraId="74C8F836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F0BEF90">
      <w:pPr>
        <w:tabs>
          <w:tab w:val="left" w:pos="7938"/>
        </w:tabs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0DFC487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BANCA EXAMINADORA</w:t>
      </w:r>
    </w:p>
    <w:p w14:paraId="2E9B320C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D8AE76A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14:paraId="01365F83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Prof.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Me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 Daniel Nazaré de Souza Madureira</w:t>
      </w:r>
      <w:r>
        <w:rPr>
          <w:rFonts w:ascii="Times New Roman" w:hAnsi="Times New Roman" w:cs="Times New Roman"/>
          <w:sz w:val="24"/>
          <w:szCs w:val="24"/>
        </w:rPr>
        <w:t xml:space="preserve"> (Orientador)</w:t>
      </w:r>
    </w:p>
    <w:p w14:paraId="33123FBD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Instituto Federal de Educação, Ciência e Tecnologia do Amapá</w:t>
      </w:r>
    </w:p>
    <w:p w14:paraId="1860FF61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C36C089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14:paraId="44CC3D21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Profa. M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 Karine Campos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4A09E8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Instituto Federal de Educação, Ciência e Tecnologia do Amapá</w:t>
      </w:r>
    </w:p>
    <w:p w14:paraId="0D751D4C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1D2E94B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14:paraId="16F7EA2A">
      <w:pPr>
        <w:tabs>
          <w:tab w:val="left" w:pos="7938"/>
        </w:tabs>
        <w:spacing w:before="0" w:after="0" w:line="360" w:lineRule="auto"/>
        <w:jc w:val="center"/>
        <w:rPr>
          <w:rFonts w:hint="default" w:ascii="Times New Roman" w:hAnsi="Times New Roman" w:cs="Times New Roman"/>
          <w:sz w:val="24"/>
          <w:szCs w:val="24"/>
          <w:lang w:val="pt-BR"/>
        </w:rPr>
      </w:pPr>
      <w:r>
        <w:rPr>
          <w:rFonts w:ascii="Times New Roman" w:hAnsi="Times New Roman" w:cs="Times New Roman"/>
          <w:sz w:val="24"/>
          <w:szCs w:val="24"/>
        </w:rPr>
        <w:t xml:space="preserve">Profa.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Me. Marlon de Oliveira do Nascimento</w:t>
      </w:r>
    </w:p>
    <w:p w14:paraId="4AF8CFC9">
      <w:pPr>
        <w:tabs>
          <w:tab w:val="left" w:pos="7938"/>
        </w:tabs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Instituto Federal de Educação, Ciência e Tecnologia do Amapá</w:t>
      </w:r>
    </w:p>
    <w:p w14:paraId="6A39749C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0C311A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Apresentado em: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 09 </w:t>
      </w: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 12 </w:t>
      </w:r>
      <w:r>
        <w:rPr>
          <w:rFonts w:ascii="Times New Roman" w:hAnsi="Times New Roman" w:cs="Times New Roman"/>
          <w:sz w:val="24"/>
          <w:szCs w:val="24"/>
        </w:rPr>
        <w:t xml:space="preserve">/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2025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0FB257B">
      <w:pPr>
        <w:spacing w:before="0" w:after="0" w:line="360" w:lineRule="auto"/>
        <w:jc w:val="both"/>
        <w:rPr>
          <w:rFonts w:hint="default" w:ascii="Times New Roman" w:hAnsi="Times New Roman" w:cs="Times New Roman"/>
          <w:sz w:val="24"/>
          <w:szCs w:val="24"/>
          <w:lang w:val="pt-BR"/>
        </w:rPr>
      </w:pPr>
      <w:r>
        <w:rPr>
          <w:rFonts w:ascii="Times New Roman" w:hAnsi="Times New Roman" w:cs="Times New Roman"/>
          <w:sz w:val="24"/>
          <w:szCs w:val="24"/>
        </w:rPr>
        <w:t>Conceito/Nota: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 100</w:t>
      </w:r>
    </w:p>
    <w:p w14:paraId="29CB16E3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6D53D0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p w14:paraId="655B326F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08B5637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AE81016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1CBE5D7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BE9EF72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67BB74A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5DB6D5B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050AB911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3699105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D85883B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FF3FA5A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0E8EBF0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331D121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51A745E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83977FA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0268E193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658ED11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FB2FE7C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E33A3D4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C4F7ADD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B282F0E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01282E7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F3A3628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E2A30A">
      <w:pPr>
        <w:tabs>
          <w:tab w:val="left" w:pos="4395"/>
        </w:tabs>
        <w:spacing w:before="0" w:after="0" w:line="360" w:lineRule="auto"/>
        <w:ind w:left="4394" w:right="-1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Aos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nossos</w:t>
      </w:r>
      <w:r>
        <w:rPr>
          <w:rFonts w:ascii="Times New Roman" w:hAnsi="Times New Roman" w:cs="Times New Roman"/>
          <w:sz w:val="24"/>
          <w:szCs w:val="24"/>
        </w:rPr>
        <w:t xml:space="preserve"> pais que não mediram esforços para que  </w:t>
      </w:r>
      <w:r>
        <w:rPr>
          <w:rFonts w:ascii="Times New Roman" w:hAnsi="Times New Roman" w:cs="Times New Roman"/>
          <w:sz w:val="24"/>
          <w:szCs w:val="24"/>
          <w:lang w:val="pt-BR"/>
        </w:rPr>
        <w:t>tiv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é</w:t>
      </w:r>
      <w:r>
        <w:rPr>
          <w:rFonts w:ascii="Times New Roman" w:hAnsi="Times New Roman" w:cs="Times New Roman"/>
          <w:sz w:val="24"/>
          <w:szCs w:val="24"/>
          <w:lang w:val="pt-BR"/>
        </w:rPr>
        <w:t>sse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mos</w:t>
      </w:r>
      <w:r>
        <w:rPr>
          <w:rFonts w:ascii="Times New Roman" w:hAnsi="Times New Roman" w:cs="Times New Roman"/>
          <w:sz w:val="24"/>
          <w:szCs w:val="24"/>
        </w:rPr>
        <w:t xml:space="preserve"> uma educação baseada em adquirir conhecimentos.</w:t>
      </w:r>
    </w:p>
    <w:p w14:paraId="5A2FC3DB">
      <w:pPr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p w14:paraId="3FDDB158">
      <w:pPr>
        <w:spacing w:before="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AGRADECIMENTOS</w:t>
      </w:r>
    </w:p>
    <w:p w14:paraId="2D3181BA">
      <w:pPr>
        <w:spacing w:before="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AD9DE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0"/>
        <w:jc w:val="both"/>
        <w:textAlignment w:val="auto"/>
        <w:rPr>
          <w:rFonts w:hint="default" w:ascii="Times New Roman" w:hAnsi="Times New Roman" w:cs="Times New Roman"/>
          <w:sz w:val="24"/>
          <w:szCs w:val="24"/>
          <w:lang w:val="pt-BR"/>
        </w:rPr>
      </w:pPr>
      <w:r>
        <w:rPr>
          <w:rFonts w:ascii="Times New Roman" w:hAnsi="Times New Roman" w:cs="Times New Roman"/>
          <w:sz w:val="24"/>
          <w:szCs w:val="24"/>
        </w:rPr>
        <w:t xml:space="preserve">Ao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nosso</w:t>
      </w:r>
      <w:r>
        <w:rPr>
          <w:rFonts w:ascii="Times New Roman" w:hAnsi="Times New Roman" w:cs="Times New Roman"/>
          <w:sz w:val="24"/>
          <w:szCs w:val="24"/>
        </w:rPr>
        <w:t xml:space="preserve"> orientador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, Professor Mestre </w:t>
      </w:r>
      <w:r>
        <w:rPr>
          <w:rFonts w:hint="default" w:ascii="Times New Roman" w:hAnsi="Times New Roman"/>
          <w:sz w:val="24"/>
          <w:szCs w:val="24"/>
          <w:lang w:val="pt-BR"/>
        </w:rPr>
        <w:t>Daniel Nazaré de Souza Madureira, por ter aceito a entrar nessa caminhada conosco, sempre prestativo e paciente, sua orientação metodológica e a sua revisão crítica tornaram esse trabalho possível.</w:t>
      </w:r>
    </w:p>
    <w:p w14:paraId="29538F9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0"/>
        <w:jc w:val="both"/>
        <w:textAlignment w:val="auto"/>
        <w:rPr>
          <w:rFonts w:hint="default" w:ascii="Times New Roman" w:hAnsi="Times New Roman" w:cs="Times New Roman"/>
          <w:sz w:val="24"/>
          <w:szCs w:val="24"/>
          <w:lang w:val="pt-BR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nossa</w:t>
      </w:r>
      <w:r>
        <w:rPr>
          <w:rFonts w:ascii="Times New Roman" w:hAnsi="Times New Roman" w:cs="Times New Roman"/>
          <w:sz w:val="24"/>
          <w:szCs w:val="24"/>
        </w:rPr>
        <w:t xml:space="preserve"> família, pelo incentivo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 incondicional presente em  cada etapa dessa jornada acadêmica, que foi fundamental para que chegássemos até aqui. Este trabalho também de vocês.</w:t>
      </w:r>
    </w:p>
    <w:p w14:paraId="5F6DC70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0"/>
        <w:jc w:val="both"/>
        <w:textAlignment w:val="auto"/>
        <w:rPr>
          <w:rFonts w:hint="default" w:ascii="Times New Roman" w:hAnsi="Times New Roman" w:cs="Times New Roman"/>
          <w:sz w:val="24"/>
          <w:szCs w:val="24"/>
          <w:lang w:val="pt-BR"/>
        </w:rPr>
      </w:pPr>
      <w:r>
        <w:rPr>
          <w:rFonts w:ascii="Times New Roman" w:hAnsi="Times New Roman" w:cs="Times New Roman"/>
          <w:sz w:val="24"/>
          <w:szCs w:val="24"/>
        </w:rPr>
        <w:t>Aos professores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 que fizeram  parte da nossa trajetória acadêmica, deixo a nossa sincera gratidão por todo o conhecimento compartilhado, pela dedicação ao ensino e pelo incentivo constante ao desenvolvimento crítico e profissional. Cada orientação, conselho, valores e ensinamentos passados, guiaram a nossa carreira acadêmica.</w:t>
      </w:r>
    </w:p>
    <w:p w14:paraId="28654E4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0"/>
        <w:jc w:val="both"/>
        <w:textAlignment w:val="auto"/>
        <w:rPr>
          <w:rFonts w:hint="default" w:ascii="Times New Roman" w:hAnsi="Times New Roman" w:cs="Times New Roman"/>
          <w:sz w:val="24"/>
          <w:szCs w:val="24"/>
          <w:lang w:val="pt-BR"/>
        </w:rPr>
      </w:pPr>
      <w:r>
        <w:rPr>
          <w:rFonts w:hint="default" w:ascii="Times New Roman" w:hAnsi="Times New Roman" w:cs="Times New Roman"/>
          <w:sz w:val="24"/>
          <w:szCs w:val="24"/>
          <w:lang w:val="pt-BR"/>
        </w:rPr>
        <w:t>Aos colegas de classe que colaboraram com este artigo.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br w:type="textWrapping"/>
      </w:r>
    </w:p>
    <w:p w14:paraId="4D61FC3C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p w14:paraId="026692A9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B3DB144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92DC8CC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874621F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5B057D7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F2741FA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1464683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CAF7B37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C6EB92E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1574487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BAD14F8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1F68E64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0675FE5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85FB735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0DB4534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8714DCD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40C1F3B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A7A405D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BE0038D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08140FB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99C8FF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B7547B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735D6F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FAF275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3890DE">
      <w:pPr>
        <w:spacing w:before="0" w:after="0" w:line="360" w:lineRule="auto"/>
        <w:ind w:left="4536" w:right="-1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“O principal processo da escola é o ensino aprendizagem e o principal agente deste processo é o professor.”</w:t>
      </w:r>
    </w:p>
    <w:p w14:paraId="03DF9979">
      <w:pPr>
        <w:spacing w:before="0" w:after="0" w:line="360" w:lineRule="auto"/>
        <w:ind w:left="4536" w:right="-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43914D32">
      <w:pPr>
        <w:spacing w:before="0" w:after="0" w:line="360" w:lineRule="auto"/>
        <w:ind w:left="4536" w:right="-1"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outinho</w:t>
      </w:r>
      <w:r>
        <w:rPr>
          <w:rFonts w:ascii="Times New Roman" w:hAnsi="Times New Roman" w:cs="Times New Roman"/>
          <w:sz w:val="24"/>
          <w:szCs w:val="24"/>
        </w:rPr>
        <w:t>, 2021, p.109).</w:t>
      </w:r>
    </w:p>
    <w:p w14:paraId="72AD8145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6E4676">
      <w:pPr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p w14:paraId="6EF22D08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RESUMO</w:t>
      </w:r>
    </w:p>
    <w:p w14:paraId="4E5D39F5">
      <w:pPr>
        <w:spacing w:before="0" w:after="0" w:line="360" w:lineRule="auto"/>
        <w:jc w:val="both"/>
        <w:rPr>
          <w:rFonts w:hint="default" w:ascii="Times New Roman" w:hAnsi="Times New Roman"/>
          <w:sz w:val="24"/>
          <w:szCs w:val="24"/>
        </w:rPr>
      </w:pPr>
    </w:p>
    <w:p w14:paraId="4CDF10A2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A proficiência em línguas estrangeiras é essencial para o sucesso das negociações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internacionais, destacando-se o espanhol por ser uma das línguas mais faladas globalmente. 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objetivo central da pesquisa foi analisar a relevância desse idioma para o comércio exterior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brasileiro. A metodologia adotou uma abordagem qualitativa e explicativa, fundamentada na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análise de dados secundários e fontes documentais, como artigos científicos e relatórios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institucionais, buscando identificar relações de causa e efeito das barreiras linguísticas. 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principais resultados evidenciaram que o MERCOSUL é um pilar econômico insubstituível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para o Brasil, promovendo diversificação de mercados, mas a ausência do domínio 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espanhol, do qual o Brasil é o único membro não hispanofalante, representa um desafio.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Empresas brasileiras enfrentam barreiras significativas, como a diversidade digital e 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escassez de profissionais fluentes, que dificultam a internacionalização. Embora o uso de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intérpretes especializados atue como uma ponte cultural e linguística, mitigando riscos em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negociações, onde 80% das empresas relatam ter enfrentado dificuldades com o idioma, 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dependência de terceirização linguística indica uma desvantagem competitiva. A conclusão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afirma que o domínio do espanhol transcende a qualificação profissional, configurando-se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como um investimento estratégico crucial para maximizar a competitividade internacional,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fortalecer a integração regional e garantir o sucesso contínuo do comércio exterior brasileiro.</w:t>
      </w:r>
    </w:p>
    <w:p w14:paraId="5B2DF197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7F4DD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Palavras-chave: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língua espanhola</w:t>
      </w:r>
      <w:r>
        <w:rPr>
          <w:rFonts w:ascii="Times New Roman" w:hAnsi="Times New Roman" w:cs="Times New Roman"/>
          <w:sz w:val="24"/>
          <w:szCs w:val="24"/>
        </w:rPr>
        <w:t>;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 comércio exterior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Mercosul</w:t>
      </w:r>
      <w:r>
        <w:rPr>
          <w:rFonts w:ascii="Times New Roman" w:hAnsi="Times New Roman" w:cs="Times New Roman"/>
          <w:sz w:val="24"/>
          <w:szCs w:val="24"/>
        </w:rPr>
        <w:t>;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 barreiras linguísticas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341720D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F4388B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p w14:paraId="0A6A7C01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ABSTRACT</w:t>
      </w:r>
    </w:p>
    <w:p w14:paraId="19D086D1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BAD055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6" w:name="_GoBack"/>
      <w:r>
        <w:rPr>
          <w:rFonts w:hint="default" w:ascii="Times New Roman" w:hAnsi="Times New Roman"/>
          <w:sz w:val="24"/>
          <w:szCs w:val="24"/>
        </w:rPr>
        <w:t>Proficiency in foreign languages is essential for successful international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negotiations, with Spanish standing out as one of the most widely spoken languages globally.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The main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objective of the research was to analyze the relevance of this language for Brazilian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foreign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trade. The methodology adopted a qualitative and explanatory approach, based on the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analysis of secondary data and documentary sources, such as scientific articles and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institutional reports, seeking to identify cause-and-effect relationships of language barriers.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The main results showed that MERCOSUR is an irreplaceable economic pillar for Brazil,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promoting market diversification, but the lack of proficiency in Spanish, of which Brazil is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the only non-Spanish-speaking member, represents a challenge. Brazilian companies face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significant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barriers, such as dialect diversity and a shortage of fluent professionals, which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hinder internationalization.</w:t>
      </w:r>
    </w:p>
    <w:bookmarkEnd w:id="16"/>
    <w:p w14:paraId="00D27E48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1F91BE">
      <w:pPr>
        <w:pStyle w:val="10"/>
        <w:keepNext w:val="0"/>
        <w:keepLines w:val="0"/>
        <w:widowControl/>
        <w:suppressLineNumbers w:val="0"/>
        <w:bidi w:val="0"/>
        <w:jc w:val="left"/>
        <w:rPr>
          <w:rFonts w:hint="default" w:ascii="Times New Roman" w:hAnsi="Times New Roman" w:cs="Times New Roman"/>
          <w:lang w:val="pt-BR"/>
        </w:rPr>
      </w:pPr>
      <w:r>
        <w:rPr>
          <w:rFonts w:ascii="Times New Roman" w:hAnsi="Times New Roman" w:cs="Times New Roman"/>
          <w:sz w:val="24"/>
          <w:szCs w:val="24"/>
        </w:rPr>
        <w:t>Keywords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: </w:t>
      </w:r>
      <w:r>
        <w:rPr>
          <w:rFonts w:hint="default" w:ascii="Times New Roman" w:hAnsi="Times New Roman" w:cs="Times New Roman"/>
          <w:lang w:val="en-US"/>
        </w:rPr>
        <w:t>Spanish language; foreign trade; Mercosur; language barriers</w:t>
      </w:r>
      <w:r>
        <w:rPr>
          <w:rFonts w:hint="default" w:ascii="Times New Roman" w:hAnsi="Times New Roman" w:cs="Times New Roman"/>
          <w:lang w:val="pt-BR"/>
        </w:rPr>
        <w:t>.</w:t>
      </w:r>
    </w:p>
    <w:p w14:paraId="31E56DFC">
      <w:pPr>
        <w:spacing w:before="0" w:after="0" w:line="360" w:lineRule="auto"/>
        <w:jc w:val="both"/>
        <w:rPr>
          <w:rFonts w:hint="default" w:ascii="Times New Roman" w:hAnsi="Times New Roman" w:cs="Times New Roman"/>
          <w:sz w:val="24"/>
          <w:szCs w:val="24"/>
          <w:lang w:val="pt-BR"/>
        </w:rPr>
      </w:pPr>
    </w:p>
    <w:p w14:paraId="264E74D3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4E79EF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p w14:paraId="25B6B00D">
      <w:pPr>
        <w:spacing w:before="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LISTA DE FIGURAS</w:t>
      </w:r>
    </w:p>
    <w:p w14:paraId="36CF0A13">
      <w:pPr>
        <w:spacing w:before="0"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5A497DE5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14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2"/>
        <w:gridCol w:w="559"/>
      </w:tblGrid>
      <w:tr w14:paraId="7AE15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02" w:type="dxa"/>
            <w:tcBorders>
              <w:top w:val="nil"/>
              <w:left w:val="nil"/>
              <w:bottom w:val="nil"/>
              <w:right w:val="nil"/>
            </w:tcBorders>
          </w:tcPr>
          <w:p w14:paraId="7AAA03B0">
            <w:pPr>
              <w:spacing w:before="0"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Figura 1 - </w:t>
            </w:r>
            <w:r>
              <w:rPr>
                <w:rFonts w:hint="default" w:ascii="Times New Roman" w:hAnsi="Times New Roman"/>
                <w:sz w:val="24"/>
                <w:szCs w:val="24"/>
              </w:rPr>
              <w:t>Mapa dos países que reconhecem oficialmente o espanhol como língua oficial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</w:tcPr>
          <w:p w14:paraId="06F2C58C">
            <w:pPr>
              <w:spacing w:before="0" w:after="0" w:line="360" w:lineRule="auto"/>
              <w:jc w:val="both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6</w:t>
            </w:r>
          </w:p>
        </w:tc>
      </w:tr>
      <w:tr w14:paraId="1F4F8D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02" w:type="dxa"/>
            <w:tcBorders>
              <w:top w:val="nil"/>
              <w:left w:val="nil"/>
              <w:bottom w:val="nil"/>
              <w:right w:val="nil"/>
            </w:tcBorders>
          </w:tcPr>
          <w:p w14:paraId="51DF39F9">
            <w:pPr>
              <w:spacing w:before="0" w:after="0" w:line="360" w:lineRule="auto"/>
              <w:jc w:val="both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Figura 2 - 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Mapa dos países membros do MERCOSUL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</w:tcPr>
          <w:p w14:paraId="5364C491">
            <w:pPr>
              <w:spacing w:before="0" w:after="0" w:line="360" w:lineRule="auto"/>
              <w:jc w:val="both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12</w:t>
            </w:r>
          </w:p>
        </w:tc>
      </w:tr>
    </w:tbl>
    <w:p w14:paraId="79EB668F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78919FB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p w14:paraId="7BA64CE7">
      <w:pPr>
        <w:spacing w:before="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LISTA DE TABELAS</w:t>
      </w:r>
    </w:p>
    <w:p w14:paraId="0D2C111F">
      <w:pPr>
        <w:spacing w:before="0"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3D2E5322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14"/>
        <w:tblW w:w="90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5"/>
        <w:gridCol w:w="456"/>
      </w:tblGrid>
      <w:tr w14:paraId="637AD0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15" w:type="dxa"/>
            <w:tcBorders>
              <w:top w:val="nil"/>
              <w:left w:val="nil"/>
              <w:bottom w:val="nil"/>
              <w:right w:val="nil"/>
            </w:tcBorders>
          </w:tcPr>
          <w:p w14:paraId="197D1E5E">
            <w:pPr>
              <w:spacing w:before="0" w:after="0" w:line="360" w:lineRule="auto"/>
              <w:jc w:val="both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Tabela 1 - </w:t>
            </w:r>
            <w:r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Exportação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, importação e o saldo da balança comercial entre Brasil e o MERCOSUL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20F6AD18">
            <w:pPr>
              <w:spacing w:before="0" w:after="0" w:line="360" w:lineRule="auto"/>
              <w:jc w:val="right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3</w:t>
            </w:r>
          </w:p>
        </w:tc>
      </w:tr>
    </w:tbl>
    <w:p w14:paraId="6B586615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382B2A9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8A462C4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p w14:paraId="677B5EE3">
      <w:pPr>
        <w:spacing w:before="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LISTA DE SIGLAS</w:t>
      </w:r>
    </w:p>
    <w:p w14:paraId="24B86705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862359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25" w:beforeLines="90" w:after="0" w:line="360" w:lineRule="auto"/>
        <w:ind w:right="232" w:firstLine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APEX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 Agência Brasileira de Promoção de Exportações e Investimentos</w:t>
      </w:r>
    </w:p>
    <w:p w14:paraId="2854525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25" w:beforeLines="90" w:after="0" w:line="360" w:lineRule="auto"/>
        <w:ind w:right="232" w:firstLine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CEP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AL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Comissão Econômica para a América Latina e o Caribe</w:t>
      </w:r>
    </w:p>
    <w:p w14:paraId="1E949D6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325" w:beforeLines="9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CV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C  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 Centro Virtual Cervantes</w:t>
      </w:r>
    </w:p>
    <w:p w14:paraId="0590A1E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ENEM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Exame Nacional do Ensino Médio</w:t>
      </w:r>
    </w:p>
    <w:p w14:paraId="3265F8CE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FOB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Free on Board (Livre a Bordo), termo utilizado na balança comercial</w:t>
      </w:r>
    </w:p>
    <w:p w14:paraId="1AB67D7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FOCEM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Fundo para Convergência Estrutural do MERCOSUL</w:t>
      </w:r>
    </w:p>
    <w:p w14:paraId="1B5EDEF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IFAP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Instituto Federal de Educação, Ciência e Tecnologia do Amapá</w:t>
      </w:r>
    </w:p>
    <w:p w14:paraId="30346FC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IPEA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Instituto de Pesquisa Aplicada</w:t>
      </w:r>
    </w:p>
    <w:p w14:paraId="232890B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LDB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Lei de Diretrizes e Bases da Educação</w:t>
      </w:r>
    </w:p>
    <w:p w14:paraId="14D2EDF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MERCOSUL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 Mercado Comum do Sul</w:t>
      </w:r>
    </w:p>
    <w:p w14:paraId="4B9A431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OEI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Organização dos Estados Ibero-Americanos</w:t>
      </w:r>
    </w:p>
    <w:p w14:paraId="28D0926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PIB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Produto Interno Bruto</w:t>
      </w:r>
    </w:p>
    <w:p w14:paraId="569169F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PNLD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Programa Nacional do Livro Didático</w:t>
      </w:r>
    </w:p>
    <w:p w14:paraId="3CC7BCB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SEM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Setor Educacional do MERCOSUL</w:t>
      </w:r>
    </w:p>
    <w:p w14:paraId="5A4BBD2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leftChars="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TCC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pt-BR"/>
        </w:rPr>
        <w:t xml:space="preserve">   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>Trabalho de Conclusão de Curso</w:t>
      </w:r>
    </w:p>
    <w:p w14:paraId="6717D34E">
      <w:pPr>
        <w:spacing w:before="0" w:after="0" w:line="360" w:lineRule="auto"/>
        <w:ind w:right="230" w:firstLine="0"/>
        <w:jc w:val="left"/>
        <w:rPr>
          <w:rFonts w:hint="default" w:ascii="Times New Roman" w:hAnsi="Times New Roman" w:cs="Times New Roman"/>
          <w:sz w:val="24"/>
          <w:szCs w:val="24"/>
          <w:lang w:val="pt-BR"/>
        </w:rPr>
      </w:pPr>
    </w:p>
    <w:p w14:paraId="08C0DA12">
      <w:pPr>
        <w:spacing w:before="0" w:after="0" w:line="360" w:lineRule="auto"/>
        <w:ind w:right="230" w:firstLine="0"/>
        <w:jc w:val="left"/>
        <w:rPr>
          <w:rFonts w:hint="default" w:ascii="Times New Roman" w:hAnsi="Times New Roman" w:cs="Times New Roman"/>
          <w:sz w:val="24"/>
          <w:szCs w:val="24"/>
          <w:lang w:val="pt-BR"/>
        </w:rPr>
      </w:pPr>
    </w:p>
    <w:p w14:paraId="19AE9FCC">
      <w:pPr>
        <w:spacing w:before="0"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p w14:paraId="6821D2FF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SUMÁRIO</w:t>
      </w:r>
    </w:p>
    <w:p w14:paraId="1AEC189F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14"/>
        <w:tblW w:w="90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6"/>
        <w:gridCol w:w="7455"/>
        <w:gridCol w:w="560"/>
      </w:tblGrid>
      <w:tr w14:paraId="71DFB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</w:tcPr>
          <w:p w14:paraId="580AC388">
            <w:pPr>
              <w:spacing w:before="0"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7455" w:type="dxa"/>
            <w:tcBorders>
              <w:top w:val="nil"/>
              <w:left w:val="nil"/>
              <w:bottom w:val="nil"/>
              <w:right w:val="nil"/>
            </w:tcBorders>
          </w:tcPr>
          <w:p w14:paraId="582B24EB">
            <w:pPr>
              <w:spacing w:before="0"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INTRODUÇÃO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14:paraId="5E7DDA73">
            <w:pPr>
              <w:spacing w:before="0" w:after="0" w:line="360" w:lineRule="auto"/>
              <w:jc w:val="right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13</w:t>
            </w:r>
          </w:p>
        </w:tc>
      </w:tr>
      <w:tr w14:paraId="1E5B6D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</w:tcPr>
          <w:p w14:paraId="1321AD06">
            <w:pPr>
              <w:spacing w:before="0"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7455" w:type="dxa"/>
            <w:tcBorders>
              <w:top w:val="nil"/>
              <w:left w:val="nil"/>
              <w:bottom w:val="nil"/>
              <w:right w:val="nil"/>
            </w:tcBorders>
          </w:tcPr>
          <w:p w14:paraId="7DF7E7E0">
            <w:pPr>
              <w:spacing w:before="0" w:after="0" w:line="360" w:lineRule="auto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  <w:t xml:space="preserve">REFERENCIAL TEÓRIOCO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14:paraId="47DC6ED5">
            <w:pPr>
              <w:spacing w:before="0" w:after="0" w:line="360" w:lineRule="auto"/>
              <w:jc w:val="right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6</w:t>
            </w:r>
          </w:p>
        </w:tc>
      </w:tr>
      <w:tr w14:paraId="5B5D3F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</w:tcPr>
          <w:p w14:paraId="1D5E2A53">
            <w:pPr>
              <w:spacing w:before="0"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7455" w:type="dxa"/>
            <w:tcBorders>
              <w:top w:val="nil"/>
              <w:left w:val="nil"/>
              <w:bottom w:val="nil"/>
              <w:right w:val="nil"/>
            </w:tcBorders>
          </w:tcPr>
          <w:p w14:paraId="4C5F7AD5">
            <w:pPr>
              <w:spacing w:before="0" w:after="0" w:line="360" w:lineRule="auto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  <w:t xml:space="preserve">METODOLOGIA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14:paraId="5FCC75A6">
            <w:pPr>
              <w:spacing w:before="0" w:after="0" w:line="360" w:lineRule="auto"/>
              <w:jc w:val="right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19</w:t>
            </w:r>
          </w:p>
        </w:tc>
      </w:tr>
      <w:tr w14:paraId="5AC0D6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</w:tcPr>
          <w:p w14:paraId="00FEFE6B">
            <w:pPr>
              <w:spacing w:before="0" w:after="0" w:line="360" w:lineRule="auto"/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  <w:t>4</w:t>
            </w:r>
          </w:p>
        </w:tc>
        <w:tc>
          <w:tcPr>
            <w:tcW w:w="7455" w:type="dxa"/>
            <w:tcBorders>
              <w:top w:val="nil"/>
              <w:left w:val="nil"/>
              <w:bottom w:val="nil"/>
              <w:right w:val="nil"/>
            </w:tcBorders>
          </w:tcPr>
          <w:p w14:paraId="2A289E19">
            <w:pPr>
              <w:spacing w:before="0" w:after="0" w:line="360" w:lineRule="auto"/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  <w:t>RESULTADOS E DISCUSSÕES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14:paraId="27056C61">
            <w:pPr>
              <w:spacing w:before="0" w:after="0" w:line="360" w:lineRule="auto"/>
              <w:jc w:val="right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21</w:t>
            </w:r>
          </w:p>
        </w:tc>
      </w:tr>
      <w:tr w14:paraId="3EF60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</w:tcPr>
          <w:p w14:paraId="74E7D9E9">
            <w:pPr>
              <w:spacing w:before="0" w:after="0" w:line="360" w:lineRule="auto"/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  <w:t>4.1</w:t>
            </w:r>
          </w:p>
        </w:tc>
        <w:tc>
          <w:tcPr>
            <w:tcW w:w="7455" w:type="dxa"/>
            <w:tcBorders>
              <w:top w:val="nil"/>
              <w:left w:val="nil"/>
              <w:bottom w:val="nil"/>
              <w:right w:val="nil"/>
            </w:tcBorders>
          </w:tcPr>
          <w:p w14:paraId="7F06C8C0">
            <w:pPr>
              <w:spacing w:before="0" w:after="0" w:line="360" w:lineRule="auto"/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  <w:t>A importância do MERCOSUL para o desenvolvimento e o comércio exterior do Brasil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14:paraId="71127470">
            <w:pPr>
              <w:spacing w:before="0" w:after="0" w:line="360" w:lineRule="auto"/>
              <w:jc w:val="right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21</w:t>
            </w:r>
          </w:p>
        </w:tc>
      </w:tr>
      <w:tr w14:paraId="24B82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</w:tcPr>
          <w:p w14:paraId="7A9980F6">
            <w:pPr>
              <w:spacing w:before="0" w:after="0" w:line="360" w:lineRule="auto"/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  <w:t>4.1.1</w:t>
            </w:r>
          </w:p>
        </w:tc>
        <w:tc>
          <w:tcPr>
            <w:tcW w:w="7455" w:type="dxa"/>
            <w:tcBorders>
              <w:top w:val="nil"/>
              <w:left w:val="nil"/>
              <w:bottom w:val="nil"/>
              <w:right w:val="nil"/>
            </w:tcBorders>
          </w:tcPr>
          <w:p w14:paraId="4DC150A9">
            <w:pPr>
              <w:spacing w:before="0"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/>
                <w:b w:val="0"/>
                <w:bCs/>
                <w:sz w:val="24"/>
                <w:szCs w:val="24"/>
              </w:rPr>
              <w:t>Exportação, Importação e balança comercial no comércio entre Brasil e o</w:t>
            </w:r>
            <w:r>
              <w:rPr>
                <w:rFonts w:hint="default" w:ascii="Times New Roman" w:hAnsi="Times New Roman"/>
                <w:b w:val="0"/>
                <w:bCs/>
                <w:sz w:val="24"/>
                <w:szCs w:val="24"/>
                <w:lang w:val="pt-BR"/>
              </w:rPr>
              <w:t xml:space="preserve"> </w:t>
            </w:r>
            <w:r>
              <w:rPr>
                <w:rFonts w:hint="default" w:ascii="Times New Roman" w:hAnsi="Times New Roman"/>
                <w:b w:val="0"/>
                <w:bCs/>
                <w:sz w:val="24"/>
                <w:szCs w:val="24"/>
              </w:rPr>
              <w:t>MERCOSUL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14:paraId="1C8DB962">
            <w:pPr>
              <w:spacing w:before="0" w:after="0" w:line="360" w:lineRule="auto"/>
              <w:jc w:val="right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23</w:t>
            </w:r>
          </w:p>
        </w:tc>
      </w:tr>
      <w:tr w14:paraId="0AE90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</w:tcPr>
          <w:p w14:paraId="63E6767B">
            <w:pPr>
              <w:spacing w:before="0" w:after="0" w:line="360" w:lineRule="auto"/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  <w:t>4.2</w:t>
            </w:r>
          </w:p>
        </w:tc>
        <w:tc>
          <w:tcPr>
            <w:tcW w:w="7455" w:type="dxa"/>
            <w:tcBorders>
              <w:top w:val="nil"/>
              <w:left w:val="nil"/>
              <w:bottom w:val="nil"/>
              <w:right w:val="nil"/>
            </w:tcBorders>
          </w:tcPr>
          <w:p w14:paraId="635C3B8A">
            <w:pPr>
              <w:spacing w:before="0" w:after="0" w:line="360" w:lineRule="auto"/>
              <w:rPr>
                <w:rFonts w:hint="default" w:ascii="Times New Roman" w:hAnsi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/>
                <w:b/>
                <w:sz w:val="24"/>
                <w:szCs w:val="24"/>
              </w:rPr>
              <w:t>Desafios linguísticos enfrentados pelas empresas brasileiras que buscam entrar no</w:t>
            </w:r>
          </w:p>
          <w:p w14:paraId="2867170E">
            <w:pPr>
              <w:spacing w:before="0"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/>
                <w:b/>
                <w:sz w:val="24"/>
                <w:szCs w:val="24"/>
              </w:rPr>
              <w:t>mercado de língua espanhola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14:paraId="2847625F">
            <w:pPr>
              <w:spacing w:before="0" w:after="0" w:line="360" w:lineRule="auto"/>
              <w:jc w:val="right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24</w:t>
            </w:r>
          </w:p>
        </w:tc>
      </w:tr>
      <w:tr w14:paraId="11E87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</w:tcPr>
          <w:p w14:paraId="1EECFFF0">
            <w:pPr>
              <w:spacing w:before="0" w:after="0" w:line="360" w:lineRule="auto"/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  <w:t>4.3</w:t>
            </w:r>
          </w:p>
        </w:tc>
        <w:tc>
          <w:tcPr>
            <w:tcW w:w="7455" w:type="dxa"/>
            <w:tcBorders>
              <w:top w:val="nil"/>
              <w:left w:val="nil"/>
              <w:bottom w:val="nil"/>
              <w:right w:val="nil"/>
            </w:tcBorders>
          </w:tcPr>
          <w:p w14:paraId="709D7A39">
            <w:pPr>
              <w:spacing w:before="0" w:after="0" w:line="360" w:lineRule="auto"/>
              <w:rPr>
                <w:rFonts w:hint="default" w:ascii="Times New Roman" w:hAnsi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/>
                <w:b/>
                <w:sz w:val="24"/>
                <w:szCs w:val="24"/>
              </w:rPr>
              <w:t>O impacto do uso de intérpretes especializados em espanhol nas negociações</w:t>
            </w:r>
          </w:p>
          <w:p w14:paraId="5046CB12">
            <w:pPr>
              <w:spacing w:before="0"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/>
                <w:b/>
                <w:sz w:val="24"/>
                <w:szCs w:val="24"/>
              </w:rPr>
              <w:t>comerciais externas brasileiras em países hispanofalantes.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14:paraId="5DDABB5E">
            <w:pPr>
              <w:spacing w:before="0" w:after="0" w:line="360" w:lineRule="auto"/>
              <w:jc w:val="right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25</w:t>
            </w:r>
          </w:p>
        </w:tc>
      </w:tr>
      <w:tr w14:paraId="769BF9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</w:tcPr>
          <w:p w14:paraId="224E085B">
            <w:pPr>
              <w:spacing w:before="0" w:after="0" w:line="360" w:lineRule="auto"/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pt-BR"/>
              </w:rPr>
              <w:t>5</w:t>
            </w:r>
          </w:p>
        </w:tc>
        <w:tc>
          <w:tcPr>
            <w:tcW w:w="7455" w:type="dxa"/>
            <w:tcBorders>
              <w:top w:val="nil"/>
              <w:left w:val="nil"/>
              <w:bottom w:val="nil"/>
              <w:right w:val="nil"/>
            </w:tcBorders>
          </w:tcPr>
          <w:p w14:paraId="1AB0914F">
            <w:pPr>
              <w:spacing w:before="0"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CONSIDERAÇÕES FINAIS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14:paraId="25C5B166">
            <w:pPr>
              <w:spacing w:before="0" w:after="0" w:line="360" w:lineRule="auto"/>
              <w:jc w:val="right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27</w:t>
            </w:r>
          </w:p>
        </w:tc>
      </w:tr>
      <w:tr w14:paraId="5A6D1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</w:tcPr>
          <w:p w14:paraId="4F34B535">
            <w:pPr>
              <w:spacing w:before="0" w:after="0" w:line="360" w:lineRule="auto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6</w:t>
            </w:r>
          </w:p>
        </w:tc>
        <w:tc>
          <w:tcPr>
            <w:tcW w:w="7455" w:type="dxa"/>
            <w:tcBorders>
              <w:top w:val="nil"/>
              <w:left w:val="nil"/>
              <w:bottom w:val="nil"/>
              <w:right w:val="nil"/>
            </w:tcBorders>
          </w:tcPr>
          <w:p w14:paraId="3A9C7E48">
            <w:pPr>
              <w:spacing w:before="0"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REFERÊNCIAS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14:paraId="7D804C93">
            <w:pPr>
              <w:spacing w:before="0" w:after="0" w:line="360" w:lineRule="auto"/>
              <w:jc w:val="right"/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pt-BR"/>
              </w:rPr>
              <w:t>29</w:t>
            </w:r>
          </w:p>
        </w:tc>
      </w:tr>
    </w:tbl>
    <w:p w14:paraId="69AFD04D">
      <w:pPr>
        <w:sectPr>
          <w:pgSz w:w="11906" w:h="16838"/>
          <w:pgMar w:top="1701" w:right="1134" w:bottom="1134" w:left="1701" w:header="0" w:footer="0" w:gutter="0"/>
          <w:pgNumType w:fmt="decimal"/>
          <w:cols w:space="720" w:num="1"/>
          <w:formProt w:val="0"/>
          <w:docGrid w:linePitch="360" w:charSpace="4096"/>
        </w:sectPr>
      </w:pPr>
    </w:p>
    <w:p w14:paraId="5E8CADAD">
      <w:pPr>
        <w:spacing w:before="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 INTRODUÇÃO</w:t>
      </w:r>
    </w:p>
    <w:p w14:paraId="6C31CC39">
      <w:pPr>
        <w:spacing w:before="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68CFD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0"/>
        <w:jc w:val="both"/>
        <w:textAlignment w:val="auto"/>
        <w:rPr>
          <w:rFonts w:hint="default" w:ascii="Times New Roman" w:hAnsi="Times New Roman" w:cs="Times New Roman"/>
          <w:sz w:val="24"/>
          <w:szCs w:val="24"/>
          <w:lang w:val="pt-BR"/>
        </w:rPr>
      </w:pPr>
      <w:r>
        <w:rPr>
          <w:rFonts w:hint="default" w:ascii="Times New Roman" w:hAnsi="Times New Roman" w:cs="Times New Roman"/>
          <w:sz w:val="24"/>
          <w:szCs w:val="24"/>
          <w:lang w:val="pt-BR"/>
        </w:rPr>
        <w:t>No cenário da integração dos mercados por meios de acordos comerciais, a proficiência em línguas estrangeiras tornou-se um fator essencial para o sucesso das negociações internacionais. Conforme apontam  Oliva e Barbosa  (2023), a comunicação eficiente entre as partes envolvidas é fundamental para estabelecer relações comerciais sólidas e evitar barreiras linguísticas que possam comprometer o fechamento de acordos. Nesse contexto, a língua espanhola se destaca como um elemento estratégico, dado o amplo alcance geográfico e a relevância dos mercados hispanofalantes ao redor do mundo (CNA, 2025).</w:t>
      </w:r>
    </w:p>
    <w:p w14:paraId="039EAE2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0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>O espanhol é uma das línguas mais faladas globalmente, reconhecida oficialmente por 21 países, com uma estimativa de 538 milhões de falantes, segundo dados do Anuário do Instituto Cervantes (2023) e da Universidade Metodista de São Paulo (2023). Essa ampla disseminação torna o idioma uma ferramenta essencial para facilitar negociações comerciais, especialmente na América Latina e na Espanha, que possuem relações comerciais significativas com o Brasil. A capacidade de comunicação direta nesses mercados permite maior fluidez nos processos negociais e reduz a necessidade de intermediários, o que pode aumentar a eficiência das transações. Para melhor dimensionar o alcance da língua, o mapa a seguir indica a localização dos países cuja língua oficial é a língua espanhola, demonstrando a proximidade do idioma com o Brasil.</w:t>
      </w:r>
    </w:p>
    <w:p w14:paraId="259E4B38">
      <w:pPr>
        <w:spacing w:before="0" w:after="0" w:line="360" w:lineRule="auto"/>
        <w:ind w:firstLine="120" w:firstLineChars="50"/>
        <w:jc w:val="both"/>
        <w:rPr>
          <w:rFonts w:hint="default" w:ascii="Times New Roman" w:hAnsi="Times New Roman"/>
          <w:sz w:val="24"/>
          <w:szCs w:val="24"/>
          <w:lang w:val="pt-BR"/>
        </w:rPr>
      </w:pPr>
    </w:p>
    <w:p w14:paraId="74D983CA">
      <w:pPr>
        <w:spacing w:before="0" w:after="0" w:line="360" w:lineRule="auto"/>
        <w:jc w:val="both"/>
        <w:rPr>
          <w:rFonts w:hint="default" w:ascii="Times New Roman" w:hAnsi="Times New Roman"/>
          <w:b/>
          <w:bCs/>
          <w:sz w:val="24"/>
          <w:szCs w:val="24"/>
        </w:rPr>
      </w:pPr>
      <w:r>
        <w:rPr>
          <w:rFonts w:hint="default" w:ascii="Times New Roman" w:hAnsi="Times New Roman"/>
          <w:b/>
          <w:bCs/>
          <w:sz w:val="24"/>
          <w:szCs w:val="24"/>
        </w:rPr>
        <w:t>Figura 1 - Mapa dos países que reconhecem oficialmente o espanhol como língua oficial</w:t>
      </w:r>
    </w:p>
    <w:p w14:paraId="07826DD3">
      <w:pPr>
        <w:spacing w:before="0" w:after="0" w:line="360" w:lineRule="auto"/>
        <w:jc w:val="both"/>
        <w:rPr>
          <w:rFonts w:hint="default" w:ascii="Times New Roman" w:hAnsi="Times New Roman"/>
          <w:b/>
          <w:bCs/>
          <w:sz w:val="24"/>
          <w:szCs w:val="24"/>
        </w:rPr>
      </w:pPr>
    </w:p>
    <w:p w14:paraId="3D24B7B9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5738495" cy="3305175"/>
            <wp:effectExtent l="0" t="0" r="14605" b="9525"/>
            <wp:docPr id="4" name="Imagem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1" descr="IMG_25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8495" cy="3305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6BC843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541" w:beforeLines="150" w:after="0" w:line="360" w:lineRule="auto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b w:val="0"/>
          <w:bCs w:val="0"/>
          <w:sz w:val="24"/>
          <w:szCs w:val="24"/>
        </w:rPr>
        <w:t>Fonte:</w:t>
      </w:r>
      <w:r>
        <w:rPr>
          <w:rFonts w:hint="default" w:ascii="Times New Roman" w:hAnsi="Times New Roman"/>
          <w:sz w:val="24"/>
          <w:szCs w:val="24"/>
        </w:rPr>
        <w:t xml:space="preserve"> "Espanhol pelo mundo" em </w:t>
      </w:r>
      <w:r>
        <w:rPr>
          <w:rFonts w:hint="default" w:ascii="Times New Roman" w:hAnsi="Times New Roman"/>
          <w:i/>
          <w:iCs/>
          <w:sz w:val="24"/>
          <w:szCs w:val="24"/>
        </w:rPr>
        <w:t xml:space="preserve">Só Espanhol </w:t>
      </w:r>
      <w:r>
        <w:rPr>
          <w:rFonts w:hint="default" w:ascii="Times New Roman" w:hAnsi="Times New Roman"/>
          <w:sz w:val="24"/>
          <w:szCs w:val="24"/>
        </w:rPr>
        <w:t>(2008).</w:t>
      </w:r>
    </w:p>
    <w:p w14:paraId="2B393B1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ab/>
      </w:r>
      <w:r>
        <w:rPr>
          <w:rFonts w:hint="default" w:ascii="Times New Roman" w:hAnsi="Times New Roman"/>
          <w:sz w:val="24"/>
          <w:szCs w:val="24"/>
          <w:lang w:val="pt-BR"/>
        </w:rPr>
        <w:t>Nesse sentido, a proficiência em espanhol abre oportunidades estratégicas para o Brasil, especialmente no contexto do Mercado Comum do Sul (MERCOSUL), bloco econômico composto majoritariamente por países hispanofalantes. Embora o Brasil seja um dos principais integrantes do MERCOSUL, é o único país-membro cuja língua oficial não é o espanhol (Poder360, 2023). Esse fator pode representar desafios adicionais para as 7 negociações comerciais, tornando essencial o incentivo ao domínio do idioma como uma estratégia para fortalecer as relações econômicas e ampliar a participação brasileira no comércio internacional.</w:t>
      </w:r>
    </w:p>
    <w:p w14:paraId="60F1AA1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>Dessa forma, a ausência de domínio da língua estrangeira no comércio exterior representa uma barreira significativa para a internacionalização das empresas e para a eficiência das negociações comerciais. Como destaca Crystal (2003), a língua é um elemento essencial na comunicação intercultural, sendo a base para a construção de relações comerciais sólidas. No contexto brasileiro, a falta de profissionais fluentes na língua do país com o qual se pretende negociar pode gerar ruídos comunicacionais, dificultando a interpretação correta de contratos, regulamentos alfandegários e especificações técnicas, o que pode levar a equívocos que impactam diretamente a segurança jurídica e a efetivação dos acordos comerciais.</w:t>
      </w:r>
    </w:p>
    <w:p w14:paraId="6F1800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>Além dos desafios comunicacionais, a ausência de um idioma comum nas negociações internacionais pode gerar desvantagens competitivas para o país que não possui profissionais capacitados linguísticamente. Segundo Ohmae (1990), a globalização exige que os atores econômicos desenvolvam habilidades que transcendam barreiras nacionais, incluindo o conhecimento de línguas estrangeiras para facilitar transações comerciais e parcerias estratégicas.</w:t>
      </w:r>
    </w:p>
    <w:p w14:paraId="7276344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>Por fim, a falta de domínio da língua estrangeira pode comprometer a credibilidade e a confiabilidade do país nas relações comerciais internacionais. Como pontuam Hofstede, Hofstede e Minkov  (2010), a cultura organizacional e a confiança mútua são essenciais para negociações bem-sucedidas, e a comunicação direta fortalece esses aspectos. Portanto, investir na capacitação linguística de profissionais do comércio exterior torna-se uma estratégia essencial para a inserção competitiva.</w:t>
      </w:r>
    </w:p>
    <w:p w14:paraId="6EC0A02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>Esta pesquisa justifica-se pela necessidade de compreender o impacto das barreiras linguísticas no desempenho do comércio exterior das empresas brasileiras. A falta de fluência em línguas estrangeiras, especialmente em espanhol, gera uma barreira à competitividade internacional, que dificulta as negociações e parcerias estratégicas.</w:t>
      </w:r>
    </w:p>
    <w:p w14:paraId="4425A3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>A pesquisa analisa como essa restrição afeta o acesso das empresas brasileiras aos mercados globais e fundamenta políticas educacionais e empresariais voltadas para a formação de idiomas. Ao abordar esta questão, este estudo orienta as empresas na adaptação das demandas do comércio internacional, destacando a importância da comunicação eficaz para a expansão dos negócios.</w:t>
      </w:r>
    </w:p>
    <w:p w14:paraId="4105326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>Com a finalidade de obter respostas sobre o tema em questão, esta pesquisa se baseia na seguinte pergunta norteadora: “Qual a Importância Estratégica da Língua Espanhola para o Comércio Exterior Brasileiro?”.</w:t>
      </w:r>
    </w:p>
    <w:p w14:paraId="36B2EC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>Para responder a pergunta de forma crítica e corretamente, esta pesquisa estipula como objetivo central analisar a relevância da língua espanhola para o comércio exterior brasileiro, e para alcançar tal objetivo, o mesmo é dividido em 3 objetivos específicos, são eles:</w:t>
      </w:r>
    </w:p>
    <w:p w14:paraId="0420D2B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>1- Evidenciar a importância do Mercosul para o desenvolvimento e comércio exterior do Brasil.</w:t>
      </w:r>
    </w:p>
    <w:p w14:paraId="3EEBF6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>2- Apresentar alguns dos desafios linguísticos enfrentados por empresas brasileiras que buscam entrar no mercado de língua espanhola.</w:t>
      </w:r>
    </w:p>
    <w:p w14:paraId="0340379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  <w:lang w:val="pt-BR"/>
        </w:rPr>
        <w:t>3- Examinar o impacto do uso de intérpretes especializados em espanhol nas negociações comerciais externas brasileiras em países hispanofalantes.</w:t>
      </w:r>
    </w:p>
    <w:p w14:paraId="564BA62E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6056215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E48DE5F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CFAA467">
      <w:pPr>
        <w:spacing w:before="0" w:after="0" w:line="360" w:lineRule="auto"/>
        <w:jc w:val="both"/>
        <w:rPr>
          <w:rFonts w:hint="default" w:ascii="Times New Roman" w:hAnsi="Times New Roman" w:cs="Times New Roman"/>
          <w:b/>
          <w:sz w:val="24"/>
          <w:szCs w:val="24"/>
          <w:lang w:val="pt-BR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>
        <w:rPr>
          <w:rFonts w:hint="default" w:ascii="Times New Roman" w:hAnsi="Times New Roman" w:cs="Times New Roman"/>
          <w:b/>
          <w:sz w:val="24"/>
          <w:szCs w:val="24"/>
          <w:lang w:val="pt-BR"/>
        </w:rPr>
        <w:t>REFERENCIAL TEÓRICO</w:t>
      </w:r>
    </w:p>
    <w:p w14:paraId="293ECA4F">
      <w:pPr>
        <w:spacing w:before="0" w:after="0" w:line="360" w:lineRule="auto"/>
        <w:jc w:val="both"/>
        <w:rPr>
          <w:rFonts w:hint="default" w:ascii="Times New Roman" w:hAnsi="Times New Roman" w:cs="Times New Roman"/>
          <w:b/>
          <w:sz w:val="24"/>
          <w:szCs w:val="24"/>
          <w:lang w:val="pt-BR"/>
        </w:rPr>
      </w:pPr>
    </w:p>
    <w:p w14:paraId="07A0BE5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9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O presente referencial teórico aborda o papel imprescindível da língua espanhola no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comércio exterior, dada sua ampla disseminação global e a relevância dos países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hispanofalantes no cenário econômico. O domínio desse idioma é crucial por configurar-se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como um instrumento fundamental para a comunicação eficaz com parceiros e clientes,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especialmente nos mercados emergentes da América Latina. Empresas que investem no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conhecimento em espanhol se posicionam de forma mais competitiva, facilitando o acesso 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mercados estratégicos e em crescimento acelerado.</w:t>
      </w:r>
    </w:p>
    <w:p w14:paraId="0B84902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A língua espanhola desempenha um papel imprescindível no comércio exterior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devido à sua ampla disseminação global e à relevância dos países hispanofalantes no cenário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econômico. Bernal (2017) destaca que o espanhol, uma das línguas mais faladas no mundo, é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essencial para o comércio internacional, sobretudo nos mercados emergentes da América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Latina. Nesse contexto, empresas que buscam expandir suas operações para essas regiões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encontram no espanhol um instrumento fundamental para uma comunicação eficaz com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clientes, parceiros comerciais e autoridades locais.</w:t>
      </w:r>
    </w:p>
    <w:p w14:paraId="330E10A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9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O domínio da língua espanhola facilita o acesso a mercados estratégicos e em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crescimento acelerado, especialmente na América Latina, onde o espanhol predomina.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Segundo González et al. (2020), o conhecimento desse idioma amplia as oportunidades de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negócios em regiões com grande potencial de consumo e que continuam a atrair investimentos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estrangeiros diretos. Empresas que investem no aprendizado e no uso do espanhol se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posicionam de maneira mais competitiva nesses mercados dinâmicos.</w:t>
      </w:r>
    </w:p>
    <w:p w14:paraId="5F87697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9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Além de ser um meio de comunicação, o espanhol funciona como uma ponte cultural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que possibilita uma compreensão mais aprofundada das especificidades dos ambientes de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negócios nos países hispanofalantes. Sedycias (2005) observa que a exigência da proficiência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em espanhol já é uma realidade nos processos seletivos de diversas empresas brasileiras.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Dessa forma, o investimento no desenvolvimento de habilidades linguísticas em espanhol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não apenas fortalece as relações comerciais, mas também contribui para um entendimento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mais abrangente dos aspectos sociais, políticos e econômicos dessas nações.</w:t>
      </w:r>
    </w:p>
    <w:p w14:paraId="0F4DC09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9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Outro ponto importante é o papel da política linguística regional na promoção 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espanhol como língua estratégica. A Organização dos Estados Ibero-Americanos (OEI, 2022)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enfatiza que a disseminação do espanhol no contexto da cooperação Sul-Sul fortalece 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integração cultural e econômica entre os países latino-americanos. Essa integração linguística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fortalece o comércio e reduz os custos de transação, além de fomentar o surgimento de uma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identidade empresarial latino-americana comum.</w:t>
      </w:r>
    </w:p>
    <w:p w14:paraId="70DB1A7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  <w:lang w:val="pt-BR"/>
        </w:rPr>
        <w:t>S</w:t>
      </w:r>
      <w:r>
        <w:rPr>
          <w:rFonts w:hint="default" w:ascii="Times New Roman" w:hAnsi="Times New Roman"/>
          <w:sz w:val="24"/>
          <w:szCs w:val="24"/>
        </w:rPr>
        <w:t>egundo Colantuono (2020), o espanhol também representa uma vantagem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competitiva para os profissionais de comércio exterior, pois proporciona maior autonomia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durante as negociações, reduzindo a dependência de intérpretes e tradutores. Essa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competência linguística se traduz em maior agilidade e precisão, o que é crucial em contextos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empresariais, onde prazos e comunicação clara são fundamentais para o sucesso das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transações internacionais.</w:t>
      </w:r>
    </w:p>
    <w:p w14:paraId="7962537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9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No âmbito do MERCOSUL, Souza (2022) aborda a relação entre linguagem 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economia de maneira inseparável, considerando a integração linguística e cultural como um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pilar essencial para alcançar seus objetivos econômicos e comerciais. O bloco foi criado em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1991, e logo reconheceu que a verdadeira eficácia da integração também dependia da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inclusão de aspectos educacionais e culturais. No mesmo ano, o Protocolo de Intenções, 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primeiro acordo a abordar questões além da economia, reconheceu a Educação como um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"motor do desenvolvimento", Com base nesse entendimento, os Estados Membros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comprometeram-se a incentivar o ensino dos idiomas oficiais do MERCOSUL (espanhol 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português) em seus sistemas educacionais.</w:t>
      </w:r>
    </w:p>
    <w:p w14:paraId="2E0ADF3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9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Para consolidar esse compromisso, foi criado, ainda em 1991, o Setor Educacional 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Mercosul (SEM), responsável por coordenar políticas e planos estratégicos voltados ao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desenvolvimento educacional regional. No contexto brasileiro, a difusão da língua espanhola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está fortemente associada à necessidade de integração com os países hispanofalantes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membros do bloco, o que impulsionou a demanda pelo seu ensino.</w:t>
      </w:r>
    </w:p>
    <w:p w14:paraId="5ED950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9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Além disso, a pesquisa da Cepal (2015) indica que os países do MERCOSUL com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maior intercâmbio linguístico tendem a apresentar fluxos comerciais mais estáveis 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diversificados, reforçando o papel da língua como ferramenta de integração regional. Essa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evidência demonstra que a língua não é apenas uma ferramenta de comunicação, mas também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um fator econômico e diplomático, que pode influenciar diretamente a eficiência das cadeias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produtivas e a cooperação bilateral entre os países.</w:t>
      </w:r>
    </w:p>
    <w:p w14:paraId="69ED66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9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Para Paraquett et al. (2019), o ensino da Língua Espanhola no Brasil passou por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transformações significativas com a criação da Lei nº 11.161/2005, conhecida como a "Lei 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Espanhol", que trouxe mudanças legislativas e impulsionou o crescimento acadêmico na área.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Antes de 2005, a Lei de Diretrizes e Bases da Educação (LDB), de 1996, não especificava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qual língua estrangeira deveria ser ensinada nas escolas, apenas determinava a inclusão de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"pelo menos uma língua estrangeira moderna" a partir da quinta série, com a escolha 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idioma ficando a cargo da comunidade escolar. Essa falta de definição legal resultou na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marginalização do Espanhol, mesmo com os esforços da comunidade de professores e com 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histórico de sua inclusão, como na Lei Orgânica do Ensino Secundário de 1942.</w:t>
      </w:r>
    </w:p>
    <w:p w14:paraId="16D4A66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9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Ainda segundo Paraquett et al. (2019), a promulgação da Lei nº 11.161/2005 teve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como objetivo aproximar o Brasil dos países hispânicos da América Latina, tornando 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Espanhol uma disciplina obrigatória no Ensino Médio, com matrícula opcional para os alunos,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 facultativa no Ensino Fundamental. Embora a implementação da lei tenha sido lenta e cheia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de dificuldades, ela representou uma grande conquista para os defensores do ensino de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Espanhol. A lei também possibilitou avanços significativos, como a inclusão do Espanhol no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Programa Nacional do Livro Didático (PNLD, 2011), no Exame Nacional do Ensino Médio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(ENEM, 2010) e a criação de concursos públicos para professores de Espanhol.</w:t>
      </w:r>
    </w:p>
    <w:p w14:paraId="54D3938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9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No entanto, em 2017, a Lei nº 11.161/2005 foi revogada pela Lei nº 13.415/2017, 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"Lei do Inglês". Essa nova legislação é vista como um retrocesso nas políticas linguísticas 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país, pois impôs o ensino obrigatório da Língua Inglesa no Ensino Fundamental a partir 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sexto ano e no Ensino Médio, enquanto outras línguas estrangeiras, incluindo o Espanhol,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passaram a ser oferecidas apenas de forma optativa, conforme a disponibilidade dos sistemas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de ensino.</w:t>
      </w:r>
    </w:p>
    <w:p w14:paraId="7DDD624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8" w:firstLineChars="0"/>
        <w:jc w:val="both"/>
        <w:textAlignment w:val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Oliva e Barbosa (2023) enfatizam que o aprendizado do espanhol deve ser visto como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um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 xml:space="preserve"> investimento estratégico, e não simplesmente como uma qualificação profissional.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Segundo os autores, a globalização exige profissionais com competências interculturais,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capazes de compreender as diferenças culturais, adaptar o discurso e fortalecer os laços de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confiança durante as negociações. Nesse sentido, o conhecimento da língua espanhola não se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limita à tradução de palavras, mas envolve a aquisição dos valores e práticas que sustentam 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sucesso nas relações internacionais.</w:t>
      </w:r>
    </w:p>
    <w:p w14:paraId="047A5A7B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BEE5FC">
      <w:pPr>
        <w:pStyle w:val="5"/>
        <w:widowControl/>
        <w:spacing w:before="0" w:after="0" w:line="360" w:lineRule="auto"/>
        <w:jc w:val="both"/>
        <w:rPr>
          <w:rFonts w:ascii="Times New Roman" w:hAnsi="Times New Roman" w:cs="Times New Roman"/>
        </w:rPr>
      </w:pPr>
    </w:p>
    <w:p w14:paraId="541B7986">
      <w:pPr>
        <w:pStyle w:val="5"/>
        <w:widowControl/>
        <w:spacing w:before="0" w:after="0" w:line="360" w:lineRule="auto"/>
        <w:jc w:val="both"/>
        <w:rPr>
          <w:rFonts w:ascii="Times New Roman" w:hAnsi="Times New Roman" w:cs="Times New Roman"/>
        </w:rPr>
      </w:pPr>
    </w:p>
    <w:p w14:paraId="0DAEC7E1">
      <w:pPr>
        <w:pStyle w:val="5"/>
        <w:widowControl/>
        <w:spacing w:before="0" w:after="0" w:line="360" w:lineRule="auto"/>
        <w:jc w:val="both"/>
        <w:rPr>
          <w:rFonts w:ascii="Times New Roman" w:hAnsi="Times New Roman" w:cs="Times New Roman"/>
        </w:rPr>
      </w:pPr>
    </w:p>
    <w:p w14:paraId="26124E8C">
      <w:pPr>
        <w:pStyle w:val="5"/>
        <w:widowControl/>
        <w:spacing w:before="0" w:after="0" w:line="360" w:lineRule="auto"/>
        <w:jc w:val="both"/>
        <w:rPr>
          <w:rFonts w:ascii="Times New Roman" w:hAnsi="Times New Roman" w:cs="Times New Roman"/>
        </w:rPr>
      </w:pPr>
    </w:p>
    <w:p w14:paraId="27AFAC31">
      <w:pPr>
        <w:pStyle w:val="5"/>
        <w:widowControl/>
        <w:spacing w:before="0" w:after="0" w:line="360" w:lineRule="auto"/>
        <w:jc w:val="both"/>
        <w:rPr>
          <w:rFonts w:ascii="Times New Roman" w:hAnsi="Times New Roman" w:cs="Times New Roman"/>
        </w:rPr>
      </w:pPr>
    </w:p>
    <w:p w14:paraId="2D3C9121">
      <w:pPr>
        <w:pStyle w:val="5"/>
        <w:widowControl/>
        <w:spacing w:before="0" w:after="0" w:line="360" w:lineRule="auto"/>
        <w:jc w:val="both"/>
        <w:rPr>
          <w:rFonts w:ascii="Times New Roman" w:hAnsi="Times New Roman" w:cs="Times New Roman"/>
        </w:rPr>
      </w:pPr>
    </w:p>
    <w:p w14:paraId="7EF3AB4F">
      <w:pPr>
        <w:pStyle w:val="5"/>
        <w:widowControl/>
        <w:spacing w:before="0" w:after="0" w:line="360" w:lineRule="auto"/>
        <w:jc w:val="both"/>
        <w:rPr>
          <w:rFonts w:ascii="Times New Roman" w:hAnsi="Times New Roman" w:cs="Times New Roman"/>
        </w:rPr>
      </w:pPr>
    </w:p>
    <w:p w14:paraId="546D7B95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42D9AE5">
      <w:pPr>
        <w:spacing w:before="0"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338119D">
      <w:pPr>
        <w:spacing w:before="0" w:after="0" w:line="360" w:lineRule="auto"/>
        <w:jc w:val="both"/>
        <w:rPr>
          <w:rFonts w:hint="default" w:ascii="Times New Roman" w:hAnsi="Times New Roman" w:cs="Times New Roman"/>
          <w:b/>
          <w:sz w:val="24"/>
          <w:szCs w:val="24"/>
          <w:lang w:val="pt-BR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hint="default" w:ascii="Times New Roman" w:hAnsi="Times New Roman" w:cs="Times New Roman"/>
          <w:b/>
          <w:sz w:val="24"/>
          <w:szCs w:val="24"/>
          <w:lang w:val="pt-BR"/>
        </w:rPr>
        <w:t xml:space="preserve"> METODOLOGIA</w:t>
      </w:r>
    </w:p>
    <w:p w14:paraId="4E5FD9A5">
      <w:pPr>
        <w:spacing w:before="0" w:after="0" w:line="360" w:lineRule="auto"/>
        <w:jc w:val="both"/>
        <w:rPr>
          <w:rFonts w:hint="default" w:ascii="Times New Roman" w:hAnsi="Times New Roman" w:cs="Times New Roman"/>
          <w:b/>
          <w:sz w:val="24"/>
          <w:szCs w:val="24"/>
          <w:lang w:val="pt-BR"/>
        </w:rPr>
      </w:pPr>
    </w:p>
    <w:p w14:paraId="623861B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1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Este estudo adota uma abordagem qualitativa e explicativa, pois busca compreender,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por meio da análise de fontes documentais, de que maneira a língua espanhola influencia as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negociações comerciais internacionais. A pesquisa explicativa, conforme define Gil (2019, p.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28), tem como objetivo aprofundar a compreensão dos fenômenos estudados, identificando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relações de causa e efeito e os fatores que impactam a comunicação no comércio exterior. 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escolha por dados secundários e documentais, por sua vez, permite a análise de informações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já existentes e validadas sobre o tema.</w:t>
      </w:r>
    </w:p>
    <w:p w14:paraId="593AE58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1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A investigação foi conduzida a partir da análise de conteúdos disponíveis em bases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científicas e institucionais reconhecidas. As principais fontes consultadas incluíram:</w:t>
      </w:r>
    </w:p>
    <w:p w14:paraId="2B41A73B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20" w:leftChars="0" w:hanging="420" w:firstLineChars="0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 xml:space="preserve"> Revista SciELO e Revista Pesquisa e Ação bem como o motor de busca Google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Acadêmico, que fornecem artigos científicos revisados por pares e estudos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acadêmicos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sobre temas relacionados à comunicação, comércio exterior e políticas linguísticas;</w:t>
      </w:r>
    </w:p>
    <w:p w14:paraId="6468389D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20" w:leftChars="0" w:hanging="420" w:firstLineChars="0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Sites governamentais, que oferecem dados oficiais, legislações, relatórios técnicos 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políticas públicas voltadas para o comércio internacional e a promoção de idiomas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estrangeiros.</w:t>
      </w:r>
    </w:p>
    <w:p w14:paraId="3B6E106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1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A pesquisa foi fundamentada na análise de dados secundários, obtidos a partir de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artigos científicos e estudos disponíveis publicamente. Foram considerados trabalhos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acadêmicos e relatórios técnicos que abordam a influência da língua estrangeira nas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negociações internacionais. Além disso, pesquisas conduzidas por órgãos especializados 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autores da área também foram analisadas, o que permitiu uma visão ampla e fundamentada 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tema.</w:t>
      </w:r>
    </w:p>
    <w:p w14:paraId="1F665EE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708" w:firstLineChars="0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A interpretação dos dados coletados ocorreram por meio de técnicas de observação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não participante, ou seja, sem interferência direta no objeto de estudo. A análise se concentrou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em identificar temáticas sobre a importância do idioma espanhol nas negociações comerciais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entre diferentes países. Para isso, foram examinados textos acadêmicos, estudos de caso 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relatórios institucionais, além de matérias de sites especializados no assunto, buscando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compreender de que forma a barreira linguística pode impactar acordos comerciais,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competitividade e oportunidades de mercado.</w:t>
      </w:r>
    </w:p>
    <w:p w14:paraId="6E0711E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1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Embora a pesquisa utilize informações já publicadas e disponíveis publicamente,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seguiu- se rigorosamente os princípios éticos na condução do estudo. Esses princípios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incluem:</w:t>
      </w:r>
    </w:p>
    <w:p w14:paraId="3CDC68A6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20" w:leftChars="0" w:hanging="420" w:firstLineChars="0"/>
        <w:jc w:val="both"/>
        <w:textAlignment w:val="auto"/>
        <w:rPr>
          <w:rFonts w:hint="default" w:ascii="Times New Roman" w:hAnsi="Times New Roman"/>
          <w:sz w:val="24"/>
          <w:szCs w:val="24"/>
          <w:lang w:val="pt-BR"/>
        </w:rPr>
      </w:pPr>
      <w:r>
        <w:rPr>
          <w:rFonts w:hint="default" w:ascii="Times New Roman" w:hAnsi="Times New Roman"/>
          <w:sz w:val="24"/>
          <w:szCs w:val="24"/>
        </w:rPr>
        <w:t>Atribuição adequada das fontes, garantindo a correta citação de autores e instituições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responsáveis pelos dados analisados;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</w:p>
    <w:p w14:paraId="1E9CE669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20" w:leftChars="0" w:hanging="420" w:firstLineChars="0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Transparência metodológica, com a explicitação clara dos critérios de seleção das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fontes e dos métodos de análise empregados;</w:t>
      </w:r>
    </w:p>
    <w:p w14:paraId="6244C7B4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20" w:leftChars="0" w:hanging="420" w:firstLineChars="0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Apresentação objetiva dos resultados, reconhecendo possíveis limitações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interpretativas e buscando minimizar vieses através de uma abordagem crítica 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fundamentada;</w:t>
      </w:r>
    </w:p>
    <w:p w14:paraId="0C5ADBA2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20" w:leftChars="0" w:hanging="420" w:firstLineChars="0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Responsabilidade social, considerando os impactos das conclusões para os diversos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atores envolvidos no comércio internacional e na promoção do ensino de línguas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estrangeiras.</w:t>
      </w:r>
    </w:p>
    <w:p w14:paraId="2F92166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1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Essa estrutura metodológica permitiu uma investigação aprofundada e bem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fundamentada sobre a influência do idioma espanhol nas negociações comerciais, garantindo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 validade e a confiabilidade dos resultados obtidos.</w:t>
      </w:r>
    </w:p>
    <w:p w14:paraId="7842FB3A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6FC74054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56483E4A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1C2B2F0C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3D96577E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2CB79380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7A79BD58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1098A1B1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7AB92C59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64EE8FA3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02F00513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676668E7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7074711D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3C248E9C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092AA525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6CBF5228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2D2F2588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38D9C2BC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7AF3DF53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558D126F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55A12050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66058A64">
      <w:pPr>
        <w:spacing w:before="0" w:after="0" w:line="360" w:lineRule="auto"/>
        <w:jc w:val="both"/>
        <w:rPr>
          <w:rFonts w:hint="default" w:ascii="Times New Roman" w:hAnsi="Times New Roman"/>
          <w:sz w:val="24"/>
          <w:szCs w:val="24"/>
        </w:rPr>
      </w:pPr>
    </w:p>
    <w:p w14:paraId="6C42BEF6">
      <w:pPr>
        <w:spacing w:before="0" w:after="0" w:line="360" w:lineRule="auto"/>
        <w:jc w:val="both"/>
        <w:rPr>
          <w:rFonts w:hint="default" w:ascii="Times New Roman" w:hAnsi="Times New Roman"/>
          <w:b/>
          <w:bCs/>
          <w:sz w:val="24"/>
          <w:szCs w:val="24"/>
          <w:lang w:val="pt-BR"/>
        </w:rPr>
      </w:pPr>
    </w:p>
    <w:p w14:paraId="007F37BA">
      <w:pPr>
        <w:spacing w:before="0" w:after="0" w:line="360" w:lineRule="auto"/>
        <w:jc w:val="both"/>
        <w:rPr>
          <w:rFonts w:hint="default" w:ascii="Times New Roman" w:hAnsi="Times New Roman"/>
          <w:b/>
          <w:bCs/>
          <w:sz w:val="24"/>
          <w:szCs w:val="24"/>
          <w:lang w:val="pt-BR"/>
        </w:rPr>
      </w:pPr>
      <w:r>
        <w:rPr>
          <w:rFonts w:hint="default" w:ascii="Times New Roman" w:hAnsi="Times New Roman"/>
          <w:b/>
          <w:bCs/>
          <w:sz w:val="24"/>
          <w:szCs w:val="24"/>
          <w:lang w:val="pt-BR"/>
        </w:rPr>
        <w:t>4 RESULTADOS E DISCUSSÕES</w:t>
      </w:r>
    </w:p>
    <w:p w14:paraId="46AEAC4F">
      <w:pPr>
        <w:spacing w:before="0" w:after="0" w:line="36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579BE1A2">
      <w:pPr>
        <w:spacing w:before="0" w:after="0" w:line="360" w:lineRule="auto"/>
        <w:jc w:val="both"/>
        <w:rPr>
          <w:rFonts w:hint="default" w:ascii="Times New Roman" w:hAnsi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pt-BR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.1 </w:t>
      </w:r>
      <w:r>
        <w:rPr>
          <w:rFonts w:hint="default" w:ascii="Times New Roman" w:hAnsi="Times New Roman"/>
          <w:b/>
          <w:sz w:val="24"/>
          <w:szCs w:val="24"/>
        </w:rPr>
        <w:t xml:space="preserve"> A importância do MERCOSUL para o desenvolvimento e o comércio exterior do</w:t>
      </w:r>
    </w:p>
    <w:p w14:paraId="591CDF8C">
      <w:pPr>
        <w:spacing w:before="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/>
          <w:b/>
          <w:sz w:val="24"/>
          <w:szCs w:val="24"/>
        </w:rPr>
        <w:t>Brasil</w:t>
      </w:r>
    </w:p>
    <w:p w14:paraId="7FF66739">
      <w:pPr>
        <w:spacing w:before="0" w:after="0" w:line="36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705A426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0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O MERCOSUL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é um instrumento crucial para a integração regional e a expansão 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comércio exterior brasileiro, auxiliando no crescimento econômico por meio da redução de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 xml:space="preserve">barreiras tarifárias, harmonização de normas e ampliação de mercados </w:t>
      </w:r>
      <w:r>
        <w:rPr>
          <w:rFonts w:hint="default" w:ascii="Times New Roman" w:hAnsi="Times New Roman" w:cs="Times New Roman"/>
          <w:sz w:val="24"/>
          <w:szCs w:val="24"/>
        </w:rPr>
        <w:t>(</w:t>
      </w:r>
      <w:r>
        <w:rPr>
          <w:rFonts w:hint="default" w:ascii="Times New Roman" w:hAnsi="Times New Roman" w:eastAsia="SimSun" w:cs="Times New Roman"/>
          <w:sz w:val="24"/>
          <w:szCs w:val="24"/>
        </w:rPr>
        <w:t>H&amp;CO, 2025</w:t>
      </w:r>
      <w:r>
        <w:rPr>
          <w:rFonts w:hint="default" w:ascii="Times New Roman" w:hAnsi="Times New Roman"/>
          <w:sz w:val="24"/>
          <w:szCs w:val="24"/>
        </w:rPr>
        <w:t>). Ao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formar um espaço econômico integrado o bloco ajudou a melhorar a concorrência do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mercado, dando economia de escala e proporcionando maior competitividade para empresas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brasileiras, essas empresas do Brasil reduziram os custos de transportes e asseguraram a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previsibilidade jurídica para contratos e investimentos internacionais.</w:t>
      </w:r>
    </w:p>
    <w:p w14:paraId="350B4B9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0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Além disso, o Fundo para Convergência Estrutural do MERCOSUL (FOCEM) e 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acordos de cooperação em infraestrutura e transporte são essenciais para o MERCOSUL, pois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fortalecem as cadeias produtivas regionais e corrigem desequilíbrios entre os membros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(IPEA,2023). Essas ações facilitam diretamente a entrada do Brasil em cadeias globais de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valor, impulsionando exportações e a atração de investimentos externos.</w:t>
      </w:r>
    </w:p>
    <w:p w14:paraId="4773245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850"/>
        <w:jc w:val="both"/>
        <w:textAlignment w:val="auto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No contexto da América do sul, o mapa a seguir indica os países membros, Brasil,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Argentina, Uruguai e Paraguai, os países associados, Suriname, Colômbia, Equador, Perú,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 xml:space="preserve">Bolívia e o Chile, a Venezuela, país-membro desde 2012, se </w:t>
      </w:r>
      <w:r>
        <w:rPr>
          <w:rFonts w:hint="default" w:ascii="Times New Roman" w:hAnsi="Times New Roman"/>
          <w:sz w:val="24"/>
          <w:szCs w:val="24"/>
          <w:lang w:val="pt-BR"/>
        </w:rPr>
        <w:t>encontra</w:t>
      </w:r>
      <w:r>
        <w:rPr>
          <w:rFonts w:hint="default" w:ascii="Times New Roman" w:hAnsi="Times New Roman"/>
          <w:sz w:val="24"/>
          <w:szCs w:val="24"/>
        </w:rPr>
        <w:t xml:space="preserve"> suspenso por infringir</w:t>
      </w:r>
      <w:r>
        <w:rPr>
          <w:rFonts w:hint="default" w:ascii="Times New Roman" w:hAnsi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regras do bloco.</w:t>
      </w:r>
    </w:p>
    <w:p w14:paraId="22EAA2C9">
      <w:pPr>
        <w:spacing w:before="0" w:after="0" w:line="360" w:lineRule="auto"/>
        <w:ind w:firstLine="851"/>
        <w:jc w:val="both"/>
        <w:rPr>
          <w:rFonts w:hint="default" w:ascii="Times New Roman" w:hAnsi="Times New Roman"/>
          <w:sz w:val="24"/>
          <w:szCs w:val="24"/>
        </w:rPr>
      </w:pPr>
    </w:p>
    <w:p w14:paraId="56E49AB4">
      <w:pPr>
        <w:spacing w:before="0" w:after="0" w:line="360" w:lineRule="auto"/>
        <w:jc w:val="both"/>
        <w:rPr>
          <w:rFonts w:hint="default" w:ascii="Times New Roman" w:hAnsi="Times New Roman"/>
          <w:b/>
          <w:bCs/>
          <w:sz w:val="24"/>
          <w:szCs w:val="24"/>
        </w:rPr>
      </w:pPr>
      <w:r>
        <w:rPr>
          <w:rFonts w:hint="default" w:ascii="Times New Roman" w:hAnsi="Times New Roman"/>
          <w:b/>
          <w:bCs/>
          <w:sz w:val="24"/>
          <w:szCs w:val="24"/>
        </w:rPr>
        <w:t>Figura 2 - Mapa dos países membros do MERCOSUL</w:t>
      </w:r>
    </w:p>
    <w:p w14:paraId="7F660050">
      <w:pPr>
        <w:spacing w:before="0" w:after="0" w:line="360" w:lineRule="auto"/>
        <w:jc w:val="both"/>
        <w:rPr>
          <w:rFonts w:hint="default" w:ascii="Times New Roman" w:hAnsi="Times New Roman"/>
          <w:b/>
          <w:bCs/>
          <w:sz w:val="24"/>
          <w:szCs w:val="24"/>
          <w:lang w:val="pt-BR"/>
        </w:rPr>
      </w:pPr>
      <w:r>
        <w:rPr>
          <w:rFonts w:hint="default" w:ascii="Times New Roman" w:hAnsi="Times New Roman" w:eastAsia="SimSu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drawing>
          <wp:inline distT="0" distB="0" distL="114300" distR="114300">
            <wp:extent cx="5715000" cy="6734175"/>
            <wp:effectExtent l="0" t="0" r="0" b="9525"/>
            <wp:docPr id="6" name="Imagem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2" descr="IMG_25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6734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B1D4419">
      <w:pPr>
        <w:spacing w:before="0"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olor w:val="000000"/>
          <w:sz w:val="24"/>
          <w:szCs w:val="24"/>
          <w:u w:val="none"/>
          <w:vertAlign w:val="baseline"/>
        </w:rPr>
        <w:t>Fonte:</w:t>
      </w:r>
      <w:r>
        <w:rPr>
          <w:rFonts w:hint="default" w:ascii="Times New Roman" w:hAnsi="Times New Roman" w:eastAsia="SimSu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Mundo Educação (2025).</w:t>
      </w:r>
    </w:p>
    <w:p w14:paraId="19C983AE">
      <w:pPr>
        <w:pStyle w:val="13"/>
        <w:keepNext w:val="0"/>
        <w:keepLines w:val="0"/>
        <w:widowControl/>
        <w:suppressLineNumbers w:val="0"/>
        <w:bidi w:val="0"/>
        <w:spacing w:before="0" w:beforeAutospacing="0" w:after="0" w:afterAutospacing="0" w:line="360" w:lineRule="auto"/>
        <w:ind w:firstLine="708" w:firstLineChars="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6DDECBD4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708" w:firstLineChars="0"/>
        <w:jc w:val="both"/>
        <w:textAlignment w:val="auto"/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Segundo o site Brasil Escola (2024), a principal diferença entre os membros efetivos e os associados do MERCOSUL está na adoção da Tarifa Externa Comum (TEC), que estabelece uma tarifa única para produtos vindos de fora do bloco, a fim de evitar concorrência e fortalecer o comércio entre os países integrantes. Essa tarifa é aplicada apenas pelos membros efetivos, que também são responsáveis pelas decisões mais importantes do bloco, como a admissão de novos integrantes.</w:t>
      </w:r>
    </w:p>
    <w:p w14:paraId="056AD856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jc w:val="both"/>
        <w:textAlignment w:val="auto"/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 </w:t>
      </w:r>
    </w:p>
    <w:p w14:paraId="7CB1DB2F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708" w:firstLineChars="0"/>
        <w:jc w:val="both"/>
        <w:textAlignment w:val="auto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shd w:val="clear" w:color="auto" w:fill="auto"/>
          <w:vertAlign w:val="baseline"/>
        </w:rPr>
        <w:t xml:space="preserve">A 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participação no MERCOSUL potencializa o poder de barganha internacional do Brasil, habilitando o país de negociar em bloco com entidades significativas, a exemplo da União Europeia, o que se traduz  em aprimoramento das condições tarifárias e regulatórias para suas exportações (</w:t>
      </w:r>
      <w:r>
        <w:rPr>
          <w:rFonts w:hint="default" w:ascii="Times New Roman" w:hAnsi="Times New Roman" w:eastAsia="SimSun" w:cs="Times New Roman"/>
          <w:sz w:val="24"/>
          <w:szCs w:val="24"/>
        </w:rPr>
        <w:t>Baptista, 2016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). Conforme dados do Ministério das Relações Exteriores (2025), o intercâmbio comercial intrabloco retém sua importância estratégica, notadamente na alocação de manufaturados e itens de elevado valor agregado. Em síntese, o bloco configura-se como um pilar essencial para diversificação de mercados, o robustecimento da integração produtiva e a projeção geopolítica brasileira.</w:t>
      </w:r>
    </w:p>
    <w:p w14:paraId="4A6A4425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30" w:beforeAutospacing="0" w:after="0" w:afterAutospacing="0" w:line="360" w:lineRule="auto"/>
        <w:ind w:firstLine="708" w:firstLineChars="0"/>
        <w:jc w:val="both"/>
        <w:textAlignment w:val="auto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47985E53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30" w:beforeAutospacing="0" w:after="0" w:afterAutospacing="0" w:line="360" w:lineRule="auto"/>
        <w:jc w:val="both"/>
        <w:textAlignment w:val="auto"/>
        <w:rPr>
          <w:rFonts w:hint="default" w:ascii="Times New Roman" w:hAnsi="Times New Roman" w:cs="Times New Roman"/>
          <w:b w:val="0"/>
          <w:bCs w:val="0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b w:val="0"/>
          <w:bCs w:val="0"/>
          <w:i w:val="0"/>
          <w:iCs w:val="0"/>
          <w:color w:val="000000"/>
          <w:sz w:val="24"/>
          <w:szCs w:val="24"/>
          <w:u w:val="none"/>
          <w:vertAlign w:val="baseline"/>
        </w:rPr>
        <w:t>4.1.1 Exportação, Importação e balança comercial no comércio entre Brasil e o MERCOSUL</w:t>
      </w:r>
    </w:p>
    <w:p w14:paraId="7D5C40F5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30" w:beforeAutospacing="0" w:after="0" w:afterAutospacing="0" w:line="360" w:lineRule="auto"/>
        <w:jc w:val="both"/>
        <w:textAlignment w:val="auto"/>
        <w:rPr>
          <w:rFonts w:hint="default" w:ascii="Times New Roman" w:hAnsi="Times New Roman" w:cs="Times New Roman"/>
          <w:b w:val="0"/>
          <w:bCs w:val="0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6560414F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30" w:beforeAutospacing="0" w:after="0" w:afterAutospacing="0" w:line="360" w:lineRule="auto"/>
        <w:ind w:left="0" w:firstLine="697"/>
        <w:jc w:val="both"/>
        <w:textAlignment w:val="auto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A seguir, é demonstrado por uma tabela, a comparação do comércio bilateral entre o Brasil e o MERCOSUL, com os valores de exportação, importação e o saldo da balança comercial desde o ano de  2020, até o ano de 2024.</w:t>
      </w:r>
    </w:p>
    <w:p w14:paraId="2D4B465E">
      <w:pPr>
        <w:pStyle w:val="6"/>
        <w:widowControl w:val="0"/>
        <w:spacing w:before="0" w:after="0" w:line="360" w:lineRule="auto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bookmarkStart w:id="15" w:name="_Toc61739604"/>
      <w:r>
        <w:rPr>
          <w:rFonts w:ascii="Times New Roman" w:hAnsi="Times New Roman" w:cs="Times New Roman"/>
          <w:b w:val="0"/>
          <w:color w:val="auto"/>
          <w:sz w:val="24"/>
          <w:szCs w:val="24"/>
        </w:rPr>
        <w:t>Tabela</w:t>
      </w:r>
      <w:r>
        <w:rPr>
          <w:rFonts w:hint="default" w:ascii="Times New Roman" w:hAnsi="Times New Roman" w:cs="Times New Roman"/>
          <w:b w:val="0"/>
          <w:color w:val="auto"/>
          <w:sz w:val="24"/>
          <w:szCs w:val="24"/>
          <w:lang w:val="pt-BR"/>
        </w:rPr>
        <w:t xml:space="preserve"> 1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- </w:t>
      </w:r>
      <w:r>
        <w:rPr>
          <w:rFonts w:hint="default" w:ascii="Times New Roman" w:hAnsi="Times New Roman" w:cs="Times New Roman"/>
          <w:b w:val="0"/>
          <w:color w:val="auto"/>
          <w:sz w:val="24"/>
          <w:szCs w:val="24"/>
          <w:lang w:val="pt-BR"/>
        </w:rPr>
        <w:t>Exportação, Importação e o saldo da balança comercial entre Brasil e o MERCOSUL (2020-2024).</w:t>
      </w:r>
      <w:bookmarkEnd w:id="15"/>
    </w:p>
    <w:tbl>
      <w:tblPr>
        <w:tblStyle w:val="3"/>
        <w:tblW w:w="913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8"/>
        <w:gridCol w:w="2663"/>
        <w:gridCol w:w="2775"/>
        <w:gridCol w:w="2606"/>
      </w:tblGrid>
      <w:tr w14:paraId="406FE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88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B461EB3">
            <w:pPr>
              <w:spacing w:before="0" w:after="0" w:line="360" w:lineRule="auto"/>
              <w:jc w:val="center"/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  <w:t>Ano</w:t>
            </w:r>
          </w:p>
        </w:tc>
        <w:tc>
          <w:tcPr>
            <w:tcW w:w="2663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BEA0CD3">
            <w:pPr>
              <w:spacing w:before="0" w:after="0" w:line="360" w:lineRule="auto"/>
              <w:jc w:val="center"/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  <w:t xml:space="preserve">EXPORTAÇÃO </w:t>
            </w:r>
            <w:r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  <w:br w:type="textWrapping"/>
            </w:r>
            <w:r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  <w:t>(Valor US$ FOB)</w:t>
            </w:r>
          </w:p>
        </w:tc>
        <w:tc>
          <w:tcPr>
            <w:tcW w:w="2775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2460107D">
            <w:pPr>
              <w:spacing w:before="0" w:after="0" w:line="360" w:lineRule="auto"/>
              <w:jc w:val="center"/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  <w:t>IMPORTAÇÃO</w:t>
            </w:r>
            <w:r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  <w:br w:type="textWrapping"/>
            </w:r>
            <w:r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  <w:t>(Valor US$ FOB)</w:t>
            </w:r>
          </w:p>
        </w:tc>
        <w:tc>
          <w:tcPr>
            <w:tcW w:w="2606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705D867D">
            <w:pPr>
              <w:spacing w:before="0" w:after="0" w:line="360" w:lineRule="auto"/>
              <w:jc w:val="center"/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  <w:t>SALDO COMERCIAL</w:t>
            </w:r>
            <w:r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  <w:br w:type="textWrapping"/>
            </w:r>
            <w:r>
              <w:rPr>
                <w:rFonts w:hint="default" w:ascii="Times New Roman" w:hAnsi="Times New Roman" w:eastAsia="Arial" w:cs="Times New Roman"/>
                <w:b/>
                <w:color w:val="000000"/>
                <w:sz w:val="24"/>
                <w:szCs w:val="24"/>
                <w:lang w:val="pt-BR"/>
              </w:rPr>
              <w:t>(Valor US$ FOB)</w:t>
            </w:r>
          </w:p>
        </w:tc>
      </w:tr>
      <w:tr w14:paraId="03405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088" w:type="dxa"/>
            <w:shd w:val="clear" w:color="auto" w:fill="auto"/>
            <w:vAlign w:val="center"/>
          </w:tcPr>
          <w:p w14:paraId="6143DE19">
            <w:pPr>
              <w:spacing w:before="0" w:after="0" w:line="360" w:lineRule="auto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pt-BR"/>
              </w:rPr>
              <w:t>2024</w:t>
            </w:r>
          </w:p>
        </w:tc>
        <w:tc>
          <w:tcPr>
            <w:tcW w:w="2663" w:type="dxa"/>
            <w:shd w:val="clear" w:color="auto" w:fill="auto"/>
            <w:vAlign w:val="center"/>
          </w:tcPr>
          <w:p w14:paraId="42A41958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20.238.378.074,00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2DA5B2CB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19.314.430.694,00</w:t>
            </w:r>
          </w:p>
        </w:tc>
        <w:tc>
          <w:tcPr>
            <w:tcW w:w="2606" w:type="dxa"/>
            <w:shd w:val="clear" w:color="auto" w:fill="auto"/>
            <w:vAlign w:val="center"/>
          </w:tcPr>
          <w:p w14:paraId="67123D31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923.947.380,00</w:t>
            </w:r>
          </w:p>
        </w:tc>
      </w:tr>
      <w:tr w14:paraId="6B3555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88" w:type="dxa"/>
            <w:shd w:val="clear" w:color="auto" w:fill="auto"/>
            <w:vAlign w:val="center"/>
          </w:tcPr>
          <w:p w14:paraId="4C6662C0">
            <w:pPr>
              <w:spacing w:before="0" w:after="0" w:line="360" w:lineRule="auto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pt-BR"/>
              </w:rPr>
              <w:t>2023</w:t>
            </w:r>
          </w:p>
        </w:tc>
        <w:tc>
          <w:tcPr>
            <w:tcW w:w="2663" w:type="dxa"/>
            <w:shd w:val="clear" w:color="auto" w:fill="auto"/>
            <w:vAlign w:val="center"/>
          </w:tcPr>
          <w:p w14:paraId="2FC4A521">
            <w:pPr>
              <w:spacing w:before="0" w:after="0" w:line="360" w:lineRule="auto"/>
              <w:ind w:firstLine="240" w:firstLineChars="100"/>
              <w:jc w:val="both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23.561.751.359,00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37D93575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17.090.052.838,00</w:t>
            </w:r>
          </w:p>
        </w:tc>
        <w:tc>
          <w:tcPr>
            <w:tcW w:w="2606" w:type="dxa"/>
            <w:shd w:val="clear" w:color="auto" w:fill="auto"/>
            <w:vAlign w:val="center"/>
          </w:tcPr>
          <w:p w14:paraId="2B45A38B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6.471.698.521,00</w:t>
            </w:r>
          </w:p>
        </w:tc>
      </w:tr>
      <w:tr w14:paraId="1A8C5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088" w:type="dxa"/>
            <w:shd w:val="clear" w:color="auto" w:fill="auto"/>
            <w:vAlign w:val="center"/>
          </w:tcPr>
          <w:p w14:paraId="776D7D88">
            <w:pPr>
              <w:spacing w:before="0" w:after="0" w:line="360" w:lineRule="auto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pt-BR"/>
              </w:rPr>
              <w:t>2022</w:t>
            </w:r>
          </w:p>
        </w:tc>
        <w:tc>
          <w:tcPr>
            <w:tcW w:w="2663" w:type="dxa"/>
            <w:shd w:val="clear" w:color="auto" w:fill="auto"/>
            <w:vAlign w:val="center"/>
          </w:tcPr>
          <w:p w14:paraId="628F8A5C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21.764.021.439,00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30EA6795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18.572.248.752,00</w:t>
            </w:r>
          </w:p>
        </w:tc>
        <w:tc>
          <w:tcPr>
            <w:tcW w:w="2606" w:type="dxa"/>
            <w:shd w:val="clear" w:color="auto" w:fill="auto"/>
            <w:vAlign w:val="center"/>
          </w:tcPr>
          <w:p w14:paraId="63BDDD9F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3.191.772.687,00</w:t>
            </w:r>
          </w:p>
        </w:tc>
      </w:tr>
      <w:tr w14:paraId="47357E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8" w:type="dxa"/>
            <w:shd w:val="clear" w:color="auto" w:fill="auto"/>
            <w:vAlign w:val="center"/>
          </w:tcPr>
          <w:p w14:paraId="4211C5E4">
            <w:pPr>
              <w:spacing w:before="0" w:after="0" w:line="360" w:lineRule="auto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pt-BR"/>
              </w:rPr>
              <w:t>2021</w:t>
            </w:r>
          </w:p>
        </w:tc>
        <w:tc>
          <w:tcPr>
            <w:tcW w:w="2663" w:type="dxa"/>
            <w:shd w:val="clear" w:color="auto" w:fill="auto"/>
            <w:vAlign w:val="center"/>
          </w:tcPr>
          <w:p w14:paraId="7D9778AC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16.990.077.517,00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238A0443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17.362.661.953,00</w:t>
            </w:r>
          </w:p>
        </w:tc>
        <w:tc>
          <w:tcPr>
            <w:tcW w:w="2606" w:type="dxa"/>
            <w:shd w:val="clear" w:color="auto" w:fill="auto"/>
            <w:vAlign w:val="center"/>
          </w:tcPr>
          <w:p w14:paraId="03CD2CA4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-372.584.436,00</w:t>
            </w:r>
          </w:p>
        </w:tc>
      </w:tr>
      <w:tr w14:paraId="61FE3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88" w:type="dxa"/>
            <w:shd w:val="clear" w:color="auto" w:fill="auto"/>
            <w:vAlign w:val="center"/>
          </w:tcPr>
          <w:p w14:paraId="23FC4DB0">
            <w:pPr>
              <w:spacing w:before="0" w:after="0" w:line="360" w:lineRule="auto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pt-BR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pt-BR"/>
              </w:rPr>
              <w:t>2020</w:t>
            </w:r>
          </w:p>
        </w:tc>
        <w:tc>
          <w:tcPr>
            <w:tcW w:w="2663" w:type="dxa"/>
            <w:shd w:val="clear" w:color="auto" w:fill="auto"/>
            <w:vAlign w:val="center"/>
          </w:tcPr>
          <w:p w14:paraId="36C3D771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12.402.971.268,00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5D3CDA03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11.980.349.278,00</w:t>
            </w:r>
          </w:p>
        </w:tc>
        <w:tc>
          <w:tcPr>
            <w:tcW w:w="2606" w:type="dxa"/>
            <w:shd w:val="clear" w:color="auto" w:fill="auto"/>
            <w:vAlign w:val="center"/>
          </w:tcPr>
          <w:p w14:paraId="4F922D1B">
            <w:pPr>
              <w:spacing w:before="0" w:after="0" w:line="360" w:lineRule="auto"/>
              <w:jc w:val="center"/>
              <w:rPr>
                <w:rFonts w:ascii="Times New Roman" w:hAnsi="Times New Roman" w:eastAsia="Arial" w:cs="Times New Roman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vertAlign w:val="baseline"/>
              </w:rPr>
              <w:t>422.621.990,00</w:t>
            </w:r>
          </w:p>
        </w:tc>
      </w:tr>
    </w:tbl>
    <w:p w14:paraId="583094D9">
      <w:pPr>
        <w:spacing w:before="0" w:after="0" w:line="360" w:lineRule="auto"/>
        <w:jc w:val="both"/>
        <w:rPr>
          <w:rFonts w:ascii="Times New Roman" w:hAnsi="Times New Roman" w:eastAsia="Arial" w:cs="Times New Roman"/>
          <w:color w:val="000000"/>
          <w:sz w:val="24"/>
          <w:szCs w:val="24"/>
        </w:rPr>
      </w:pPr>
      <w:r>
        <w:rPr>
          <w:rFonts w:ascii="Times New Roman" w:hAnsi="Times New Roman" w:eastAsia="Arial" w:cs="Times New Roman"/>
          <w:color w:val="000000"/>
          <w:sz w:val="24"/>
          <w:szCs w:val="24"/>
        </w:rPr>
        <w:t xml:space="preserve">Fonte: Dados retirados do </w:t>
      </w:r>
      <w:r>
        <w:rPr>
          <w:rFonts w:hint="default" w:ascii="Times New Roman" w:hAnsi="Times New Roman" w:eastAsia="Arial" w:cs="Times New Roman"/>
          <w:color w:val="000000"/>
          <w:sz w:val="24"/>
          <w:szCs w:val="24"/>
          <w:lang w:val="pt-BR"/>
        </w:rPr>
        <w:t>site</w:t>
      </w:r>
      <w:r>
        <w:rPr>
          <w:rFonts w:ascii="Times New Roman" w:hAnsi="Times New Roman" w:eastAsia="Arial" w:cs="Times New Roman"/>
          <w:color w:val="000000"/>
          <w:sz w:val="24"/>
          <w:szCs w:val="24"/>
        </w:rPr>
        <w:t xml:space="preserve"> </w:t>
      </w:r>
      <w:r>
        <w:rPr>
          <w:rFonts w:hint="default" w:ascii="Times New Roman" w:hAnsi="Times New Roman" w:eastAsia="Arial" w:cs="Times New Roman"/>
          <w:color w:val="000000"/>
          <w:sz w:val="24"/>
          <w:szCs w:val="24"/>
          <w:lang w:val="pt-BR"/>
        </w:rPr>
        <w:t>comex stat</w:t>
      </w:r>
      <w:r>
        <w:rPr>
          <w:rFonts w:ascii="Times New Roman" w:hAnsi="Times New Roman" w:eastAsia="Arial" w:cs="Times New Roman"/>
          <w:color w:val="000000"/>
          <w:sz w:val="24"/>
          <w:szCs w:val="24"/>
        </w:rPr>
        <w:t xml:space="preserve"> (202</w:t>
      </w:r>
      <w:r>
        <w:rPr>
          <w:rFonts w:hint="default" w:ascii="Times New Roman" w:hAnsi="Times New Roman" w:eastAsia="Arial" w:cs="Times New Roman"/>
          <w:color w:val="000000"/>
          <w:sz w:val="24"/>
          <w:szCs w:val="24"/>
          <w:lang w:val="pt-BR"/>
        </w:rPr>
        <w:t>5</w:t>
      </w:r>
      <w:r>
        <w:rPr>
          <w:rFonts w:ascii="Times New Roman" w:hAnsi="Times New Roman" w:eastAsia="Arial" w:cs="Times New Roman"/>
          <w:color w:val="000000"/>
          <w:sz w:val="24"/>
          <w:szCs w:val="24"/>
        </w:rPr>
        <w:t>).</w:t>
      </w:r>
    </w:p>
    <w:p w14:paraId="66E39449">
      <w:pPr>
        <w:spacing w:before="0" w:after="0" w:line="360" w:lineRule="auto"/>
        <w:ind w:left="1134" w:firstLine="0"/>
        <w:rPr>
          <w:rFonts w:ascii="Times New Roman" w:hAnsi="Times New Roman" w:cs="Times New Roman"/>
          <w:sz w:val="24"/>
          <w:szCs w:val="24"/>
        </w:rPr>
      </w:pPr>
    </w:p>
    <w:p w14:paraId="28D1096A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360" w:lineRule="auto"/>
        <w:ind w:firstLine="709" w:firstLineChars="0"/>
        <w:jc w:val="both"/>
        <w:textAlignment w:val="auto"/>
        <w:rPr>
          <w:rFonts w:hint="default" w:cs="Times New Roman"/>
          <w:i w:val="0"/>
          <w:iCs w:val="0"/>
          <w:color w:val="000000"/>
          <w:sz w:val="24"/>
          <w:szCs w:val="24"/>
          <w:u w:val="none"/>
          <w:vertAlign w:val="baseline"/>
          <w:lang w:val="pt-BR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As informações evidenciam dados importantes para a análise do comércio entre o país e o bloco econômico, suas exportações dentro do período indicado demonstram um alto crescimento até 2023,  com uma queda de US$3,3 bilhões no ano de 2024. As importações, embora maiores após o ano de 2020, são mais estáveis que as exportações, com valores entre US$17 bilhões e US$19 bilhões entre 2021 e 2024</w:t>
      </w:r>
      <w:r>
        <w:rPr>
          <w:rFonts w:hint="default" w:cs="Times New Roman"/>
          <w:i w:val="0"/>
          <w:iCs w:val="0"/>
          <w:color w:val="000000"/>
          <w:sz w:val="24"/>
          <w:szCs w:val="24"/>
          <w:u w:val="none"/>
          <w:vertAlign w:val="baseline"/>
          <w:lang w:val="pt-BR"/>
        </w:rPr>
        <w:t xml:space="preserve">. </w:t>
      </w:r>
    </w:p>
    <w:p w14:paraId="288985A8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709" w:firstLineChars="0"/>
        <w:jc w:val="both"/>
        <w:textAlignment w:val="auto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Ademais, é possível identificar que a balança comercial do Brasil com o bloco econômico não é estável, variando conforme os anos, havendo superávit de US$6,4 bilhões em 2023 e um déficit de US$372,5 milhões em 2021, isso reflete a complexidade das relações e a importância de políticas econômicas adequadas. A manutenção de um alto volume de comércio intrabloco, especialmente com países de língua espanhola, ressalta que a ausência de domínio do idioma pode representar uma barreira significativa para a eficiência das negociações. </w:t>
      </w:r>
    </w:p>
    <w:p w14:paraId="28D1C02E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360" w:lineRule="auto"/>
        <w:ind w:firstLine="708" w:firstLineChars="0"/>
        <w:jc w:val="both"/>
        <w:textAlignment w:val="auto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A balança comercial é importante pois reflete o grau de dependência de um território em relação ao mercado externo e permite a implementação de políticas econômicas adequadas para lidar com possíveis desequilíbrios.</w:t>
      </w:r>
    </w:p>
    <w:p w14:paraId="3894EB11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541" w:beforeLines="150" w:beforeAutospacing="0" w:after="240" w:afterAutospacing="0" w:line="360" w:lineRule="auto"/>
        <w:jc w:val="both"/>
        <w:textAlignment w:val="auto"/>
        <w:rPr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4.2 Desafios linguísticos enfrentados pelas empresas brasileiras que buscam entrar no mercado de língua espanhola.</w:t>
      </w:r>
    </w:p>
    <w:p w14:paraId="59F828F8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firstLine="720"/>
        <w:jc w:val="both"/>
        <w:textAlignment w:val="auto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Empresas brasileiras que buscam expandir para os países de língua espanhola enfrentam desafios linguísticos e culturais que impactam diretamente no sucesso das negociações internacionais. A diversidade de variantes da língua espanhola, como o rioplatense, o andino e o caribeno exige uma adaptação cuidadosa da comunicação, desde o marketing até as traduções técnicas, visto que as diferenças lexicais culturais podem afetar a percepção da marca da empresa (Colantuano, 2020). Essas dificuldades confirmam que o conhecimento do espanhol não se limita à tradução de palavras, mas envolve a aquisição de valores e práticas essenciais para o sucesso nas relações internacionais.</w:t>
      </w:r>
    </w:p>
    <w:p w14:paraId="55436A3E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firstLine="720"/>
        <w:jc w:val="both"/>
        <w:textAlignment w:val="auto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</w:rPr>
        <w:t>Pesquisas indicam que a falta de proficiência em idiomas e a escassez de especialistas bilíngues constituem barreiras significativas à internacionalização de empresas brasileiras, aumentando custos e reduzindo a eficácia da comunicação com parceiros estrangeiros (Oliva e Barbosa, 2023). Essa limitação leva muitas organizações a recorrerem aos serviços de intérpretes e tradutores externos, o que aumenta o tempo de negociação e pode gerar ruído na comunicação (Vilela e Pimentel, 2019). </w:t>
      </w:r>
    </w:p>
    <w:p w14:paraId="55BDE6FF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708" w:firstLineChars="0"/>
        <w:jc w:val="both"/>
        <w:textAlignment w:val="auto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</w:rPr>
        <w:t> Além disso, aspectos culturais relacionados à linguagem como o grau de formalidade, o estilo persuasivo e o uso de expressões idiomáticas exigem adaptações ao discurso comercial e às estratégias de marketing (Pereira Filho, 2017). Segundo o relatório da APEXBrasil (2023), empresas brasileiras que atuam em mercados como Espanha, Argentina e Chile indicam que as diferenças linguísticas e regulatórias são obstáculos recorrentes, sobretudo na tradução de documentação técnica e contratos.</w:t>
      </w:r>
    </w:p>
    <w:p w14:paraId="538DFAF7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708" w:firstLineChars="0"/>
        <w:jc w:val="both"/>
        <w:textAlignment w:val="auto"/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</w:rPr>
        <w:t>Nesse contexto, o fortalecimento de políticas públicas voltadas para o ensino do espanhol e a formação de tradutores especializados torna-se essencial para a manutenção da presença do Brasil nos mercados hispanofalantes (OEI, 2022). Dessa forma, a competência linguística e a sensibilidade cultural deixam de ser meros fatores de diferenciação e passam a ser pré-requisitos estratégicos para a consolidação do comércio exterior brasileiro na América Latina.</w:t>
      </w:r>
    </w:p>
    <w:p w14:paraId="39592AC6">
      <w:pPr>
        <w:keepNext w:val="0"/>
        <w:keepLines w:val="0"/>
        <w:widowControl/>
        <w:suppressLineNumbers w:val="0"/>
        <w:spacing w:line="360" w:lineRule="auto"/>
        <w:jc w:val="both"/>
      </w:pPr>
    </w:p>
    <w:p w14:paraId="46D3C5A3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541" w:beforeLines="150" w:beforeAutospacing="0" w:after="0" w:afterAutospacing="0" w:line="360" w:lineRule="auto"/>
        <w:jc w:val="both"/>
        <w:textAlignment w:val="auto"/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4.3 O impacto do uso de intérpretes especializados em espanhol nas negociações comerciais externas brasileiras em países hispanofalantes.</w:t>
      </w:r>
    </w:p>
    <w:p w14:paraId="402867EB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541" w:beforeLines="150" w:beforeAutospacing="0" w:after="0" w:afterAutospacing="0" w:line="360" w:lineRule="auto"/>
        <w:ind w:left="0" w:firstLine="720"/>
        <w:jc w:val="both"/>
        <w:textAlignment w:val="auto"/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A utilização de intérpretes e tradutores de espanhol desempenha um papel fundamental na consolidação das negociações comerciais entre o Brasil e os países de língua espanhola, atuando como uma ponte linguística e cultural que garante uma comunicação precisa e reduz ruídos durante o processo de negociação (Vilela e Pimentel, 2019). No contexto do comércio internacional, em que cada palavra pode influenciar o resultado de um contrato, a presença de intérpretes qualificados assegura uma comunicação clara e precisa, evitando mal-entendidos que poderiam comprometer o acordo (Zhao, 2024).</w:t>
      </w:r>
    </w:p>
    <w:p w14:paraId="691398B0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firstLine="720"/>
        <w:jc w:val="both"/>
        <w:textAlignment w:val="auto"/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Além de eliminar as barreiras linguísticas, os intérpretes especializados contribuem para a mediação intercultural, adaptando expressões, tom e terminologia ao contexto local – fomentando a confiança entre as partes envolvidas (Teixeira, 2023). Nascimento (2017) afirma que a presença de especialistas bilíngues, capazes de trabalhar tanto em espanhol quanto em português, é essencial para garantir negociações tranquilas e a eficiência dos processos de exportação e importação.</w:t>
      </w:r>
    </w:p>
    <w:p w14:paraId="53B89AA7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firstLine="720"/>
        <w:jc w:val="both"/>
        <w:textAlignment w:val="auto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Pesquisas sobre comunicação internacional mostram que empresas que utilizam intérpretes para reuniões e contratos reduzem significativamente o risco de erros de tradução e perdas financeiras decorrentes de falhas de comunicação (Albi e Prieto Ramos, 2015). Investir em serviços linguísticos especializados também impacta positivamente a imagem institucional da empresa, demonstrando profissionalismo, respeito cultural e prontidão para operar em um ambiente multilíngue (International Journal of Social Science and Economic Research, 2023).</w:t>
      </w:r>
    </w:p>
    <w:p w14:paraId="3A0ACE92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firstLine="720"/>
        <w:jc w:val="both"/>
        <w:textAlignment w:val="auto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Segundo um estudo realizado pelo Instituto de Estudos Econômicos Aplicados (IPEA, 2023), aproximadamente 80% das empresas brasileiras que atuam internacionalmente relataram ter enfrentado dificuldades com o idioma em algum momento durante as negociações, reforçando a necessidade de se empregar intérpretes qualificados no comércio internacional. Além disso, a APEX Brasil (2023) destaca que, em mercados de língua espanhola, a tradução inadequada de documentos técnicos e jurídicos pode levar à perda de contratos e atrasos logísticos.</w:t>
      </w:r>
    </w:p>
    <w:p w14:paraId="2F04AE6F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708" w:firstLineChars="0"/>
        <w:jc w:val="both"/>
        <w:textAlignment w:val="auto"/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Portanto, a utilização de intérpretes especializados em espanhol não deve ser vista apenas como um apoio linguístico, mas como um fator estratégico de competitividade internacional. Ao garantir uma comunicação precisa e culturalmente adequada, esses profissionais aumentam as chances de sucesso nas negociações e fortalecem a presença do Brasil no cenário comercial latino-americano.</w:t>
      </w:r>
    </w:p>
    <w:p w14:paraId="32E08FA1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360" w:lineRule="auto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003E308F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098AFB84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2589CAFD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4549FB65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1F1E11D1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196098D4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1B85D272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47893FE6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71919F8C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4AB41D53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1B67F2D5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79A9585C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790A4FB2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4A5BD1CA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323E61AB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4E1E221C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3B1EF6B3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25FF951B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6C14A01D">
      <w:pPr>
        <w:pStyle w:val="13"/>
        <w:keepNext w:val="0"/>
        <w:keepLines w:val="0"/>
        <w:widowControl/>
        <w:suppressLineNumbers w:val="0"/>
        <w:bidi w:val="0"/>
        <w:spacing w:before="0" w:beforeAutospacing="0" w:after="240" w:afterAutospacing="0" w:line="15" w:lineRule="atLeast"/>
        <w:ind w:left="0" w:firstLine="700"/>
        <w:jc w:val="both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45C4F336">
      <w:pPr>
        <w:spacing w:before="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pt-BR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CONSIDERAÇÕES FINAIS</w:t>
      </w:r>
    </w:p>
    <w:p w14:paraId="78EAF1E5">
      <w:pPr>
        <w:spacing w:before="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A46D85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0" w:afterAutospacing="0" w:line="360" w:lineRule="auto"/>
        <w:ind w:firstLine="708" w:firstLineChars="0"/>
        <w:jc w:val="both"/>
        <w:textAlignment w:val="auto"/>
        <w:rPr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O presente estudo teve como objetivo central analisar a relevância da língua espanhola para o comércio exterior brasileiro, buscando responder à pergunta norteadora: “Qual a Importância Estratégica da Língua Espanhola para o Comércio Exterior Brasileiro?”</w:t>
      </w:r>
    </w:p>
    <w:p w14:paraId="45FBFB19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0" w:afterAutospacing="0" w:line="360" w:lineRule="auto"/>
        <w:ind w:left="0" w:firstLine="720"/>
        <w:jc w:val="both"/>
        <w:textAlignment w:val="auto"/>
        <w:rPr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O percurso da pesquisa, fundamentado em uma análise qualitativa e explicativa de dados secundários, confirmou que o domínio do espanhol transcende a mera qualificação profissional, configurando-se como um investimento estratégico crucial para a competitividade internacional</w:t>
      </w:r>
    </w:p>
    <w:p w14:paraId="043FD34B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0" w:afterAutospacing="0" w:line="360" w:lineRule="auto"/>
        <w:ind w:left="0" w:firstLine="720"/>
        <w:jc w:val="both"/>
        <w:textAlignment w:val="auto"/>
        <w:rPr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Em relação ao primeiro objetivo específico, o estudo evidenciou que o MERCOSUL é um pilar econômico insubstituível para o Brasil, promovendo diversificação de mercados e fortalecimento de cadeias produtivas. Os dados estatísticos do comércio bilateral revelaram o alto volume de intercâmbio comercial, mas também sua instabilidade, sublinhando que qualquer barreira à comunicação pode comprometer a eficácia das transações neste bloco estratégico, do qual o Brasil é o único membro não hispanofalante.</w:t>
      </w:r>
    </w:p>
    <w:p w14:paraId="2E8B062A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0" w:afterAutospacing="0" w:line="360" w:lineRule="auto"/>
        <w:ind w:left="0" w:firstLine="720"/>
        <w:jc w:val="both"/>
        <w:textAlignment w:val="auto"/>
        <w:rPr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Em resposta ao segundo objetivo, foi constatado que as empresas brasileiras enfrentam desafios linguísticos consideráveis ao buscar penetrar nos mercados hispanofalantes, a diversidade dialetal e as nuances culturais exigem competências interculturais aprofundadas, e a escassez de profissionais fluentes representa um obstáculo à internacionalização. Este cenário é agravado pela política linguística atual, que retrocedeu ao tornar o ensino do espanhol optativo nas escolas, potencialmente impactando a formação de futuras gerações de profissionais capacitados.</w:t>
      </w:r>
    </w:p>
    <w:p w14:paraId="0A030058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0" w:afterAutospacing="0" w:line="360" w:lineRule="auto"/>
        <w:ind w:left="0" w:firstLine="720"/>
        <w:jc w:val="both"/>
        <w:textAlignment w:val="auto"/>
        <w:rPr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Por fim, ao examinar o impacto do uso de intérpretes especializados (terceiro objetivo), a pesquisa demonstrou que estes profissionais são agentes estratégicos de mitigação de riscos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eles atuam como ponte cultural e linguística, garantindo a precisão em negociações e contratos, o que é vital, dado que uma grande porcentagem de empresas brasileiras relata ter enfrentado dificuldades com o idioma. Contudo, a necessidade recorrente de terceirização linguística também aponta para a persistência de uma desvantagem competitiva quando comparada à autonomia proporcionada pelo domínio interno do idioma</w:t>
      </w:r>
    </w:p>
    <w:p w14:paraId="74C31760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0" w:afterAutospacing="0" w:line="360" w:lineRule="auto"/>
        <w:ind w:left="0" w:firstLine="720"/>
        <w:jc w:val="both"/>
        <w:textAlignment w:val="auto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As contribuições deste estudo residem em reforçar a necessidade urgente de o Brasil alinhar suas políticas educacionais e estratégias corporativas com a realidade do comércio exterior. O estudo destaca que o investimento na capacitação linguística e intercultural em espanhol é fundamental para maximizar os benefícios da integração regional no Mercosul, garantir a segurança jurídica em acordos e fortalecer a credibilidade do Brasil no cenário comercial latino-americano.</w:t>
      </w:r>
    </w:p>
    <w:p w14:paraId="54AFD0C1">
      <w:pPr>
        <w:pStyle w:val="1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0" w:afterAutospacing="0" w:line="360" w:lineRule="auto"/>
        <w:ind w:left="0" w:firstLine="720"/>
        <w:jc w:val="both"/>
        <w:textAlignment w:val="auto"/>
        <w:rPr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A proficiência em espanhol não é apenas uma habilidade, mas um imperativo estratégico para a expansão e o sucesso contínuo do comércio exterior brasileiro.</w:t>
      </w:r>
    </w:p>
    <w:p w14:paraId="733AA540">
      <w:pPr>
        <w:spacing w:before="0"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3D014010">
      <w:pPr>
        <w:spacing w:before="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106A9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D380B32">
      <w:pPr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p w14:paraId="6A44541E">
      <w:pPr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REFERÊNCIAS</w:t>
      </w:r>
    </w:p>
    <w:p w14:paraId="2CA16C6B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AGÊNCIA BRASILEIRA DE PROMOÇÃO DE EXPORTAÇÕES E INVESTIMENTOS (APEXBrasil).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Perfil Espanha – 2023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.</w:t>
      </w:r>
      <w:r>
        <w:rPr>
          <w:rFonts w:hint="default" w:ascii="Times New Roman" w:hAnsi="Times New Roman" w:cs="Times New Roman"/>
          <w:b w:val="0"/>
          <w:bCs w:val="0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Brasília: APEX Brasil, 2023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.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Disponível em: https://apexbrasil.com.br. Acesso em: 12 out. 2025.</w:t>
      </w:r>
    </w:p>
    <w:p w14:paraId="4E2C3852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eastAsia="SimSun" w:cs="Times New Roman"/>
          <w:sz w:val="24"/>
          <w:szCs w:val="24"/>
        </w:rPr>
      </w:pPr>
      <w:r>
        <w:rPr>
          <w:rFonts w:hint="default" w:ascii="Times New Roman" w:hAnsi="Times New Roman" w:eastAsia="SimSun" w:cs="Times New Roman"/>
          <w:sz w:val="24"/>
          <w:szCs w:val="24"/>
        </w:rPr>
        <w:t xml:space="preserve">BAPTISTA, C. F. </w:t>
      </w:r>
      <w:r>
        <w:rPr>
          <w:rFonts w:hint="default" w:ascii="Times New Roman" w:hAnsi="Times New Roman" w:eastAsia="SimSun" w:cs="Times New Roman"/>
          <w:b/>
          <w:bCs/>
          <w:sz w:val="24"/>
          <w:szCs w:val="24"/>
        </w:rPr>
        <w:t>Mercosul aos 25 anos</w:t>
      </w:r>
      <w:r>
        <w:rPr>
          <w:rFonts w:hint="default" w:ascii="Times New Roman" w:hAnsi="Times New Roman" w:eastAsia="SimSun" w:cs="Times New Roman"/>
          <w:sz w:val="24"/>
          <w:szCs w:val="24"/>
        </w:rPr>
        <w:t>: avanços e desafios. Revista NEIBA, v. 5, 2016.</w:t>
      </w:r>
    </w:p>
    <w:p w14:paraId="75C3612E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BERNAL, M.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Spanish in International Business: Why and How to Learn It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. Lexington Books, 2017.</w:t>
      </w:r>
    </w:p>
    <w:p w14:paraId="635D6ADA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BORJA, Albi et al. Legal Translator as a Communicator: Clarifying an Ambiguous Profession. The Translator. v. 21, n. 2, p. 144–158, 2015. Disponível em: https://link.springer.com/article/10.1007/s11196-014-9385-6. Acesso em: 12 out. 2025.</w:t>
      </w:r>
    </w:p>
    <w:p w14:paraId="233D8258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BRASIL. Lei nº 11.161, de 05 de agosto de 2005. Dispõe sobre o ensino da língua espanhola. Brasília, DF, 5 ago. 2005.</w:t>
      </w:r>
    </w:p>
    <w:p w14:paraId="126367B9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BRASIL. Lei nº 13.415, de 16 de fevereiro de 2017. Altera as Leis nº 9.394, de 20 de dezembro de 1996, que estabelece as diretrizes e bases da educação nacional, e 11.494, de 20 de junho 2007, que regulamenta o Fundo de Manutenção e Desenvolvimento da Educação Básica e de Valorização dos Profissionais da Educação, a Consolidação das Leis do Trabalho - CLT, aprovada pelo Decreto-Lei nº 5.452, de 1º de maio de 1943, e o Decreto-Lei nº 236, de 28 de fevereiro de 1967; revoga a Lei nº 11.161, de 5 de agosto de 2005; e institui a Política de Fomento à Implementação de Escolas de Ensino Médio em Tempo Integral. Brasília, DF, 16 fev. 2017.Disponível em: https://www.jusbrasil.com.br/cadastro. Acesso em: 14 dez. 2025.</w:t>
      </w:r>
    </w:p>
    <w:p w14:paraId="623F0FCB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imSun" w:cs="Times New Roman"/>
          <w:sz w:val="24"/>
          <w:szCs w:val="24"/>
        </w:rPr>
        <w:t xml:space="preserve">BRASIL. Ministério das Relações Exteriores. </w:t>
      </w:r>
      <w:r>
        <w:rPr>
          <w:rFonts w:hint="default" w:ascii="Times New Roman" w:hAnsi="Times New Roman" w:eastAsia="SimSun" w:cs="Times New Roman"/>
          <w:b/>
          <w:bCs/>
          <w:sz w:val="24"/>
          <w:szCs w:val="24"/>
        </w:rPr>
        <w:t>Dados de Comércio do MERCOSUL</w:t>
      </w:r>
      <w:r>
        <w:rPr>
          <w:rFonts w:hint="default" w:ascii="Times New Roman" w:hAnsi="Times New Roman" w:eastAsia="SimSun" w:cs="Times New Roman"/>
          <w:sz w:val="24"/>
          <w:szCs w:val="24"/>
        </w:rPr>
        <w:t xml:space="preserve">. 28 maio 2025. Disponível em: https://www.gov.br/mre/pt-br/assuntos/mecanismos-internacionais/mecanismos-de-integracao-regional/mercosul/dados-de-comercio-do-mercosul. Acesso em: 18 </w:t>
      </w:r>
      <w:r>
        <w:rPr>
          <w:rFonts w:hint="default" w:cs="Times New Roman"/>
          <w:sz w:val="24"/>
          <w:szCs w:val="24"/>
          <w:lang w:val="pt-BR"/>
        </w:rPr>
        <w:t>set</w:t>
      </w:r>
      <w:r>
        <w:rPr>
          <w:rFonts w:hint="default" w:ascii="Times New Roman" w:hAnsi="Times New Roman" w:eastAsia="SimSun" w:cs="Times New Roman"/>
          <w:sz w:val="24"/>
          <w:szCs w:val="24"/>
        </w:rPr>
        <w:t>. 202</w:t>
      </w:r>
      <w:r>
        <w:rPr>
          <w:rFonts w:hint="default" w:cs="Times New Roman"/>
          <w:sz w:val="24"/>
          <w:szCs w:val="24"/>
          <w:lang w:val="pt-BR"/>
        </w:rPr>
        <w:t>5</w:t>
      </w:r>
      <w:r>
        <w:rPr>
          <w:rFonts w:hint="default" w:ascii="Times New Roman" w:hAnsi="Times New Roman" w:eastAsia="SimSun" w:cs="Times New Roman"/>
          <w:sz w:val="24"/>
          <w:szCs w:val="24"/>
        </w:rPr>
        <w:t>.</w:t>
      </w:r>
    </w:p>
    <w:p w14:paraId="3FB215D1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CEPAL – COMISSÃO ECONÔMICA PARA A AMÉRICA LATINA E O CARIBE.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O comércio na América do Sul: oportunidades para o Brasil. 2015.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Disponível em: https://www.cepal.org/pt-br/publicacoes/37923-o-comercio-america-sul-oportunidades-o-brasil. Acesso em: 1 abr. 2025.</w:t>
      </w:r>
    </w:p>
    <w:p w14:paraId="58F3DBD2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COLANTUONO, Aline Correia de Sousa.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 xml:space="preserve"> A importância da língua espanhola na atuação do tecnólogo em comércio exterior: uma análise das relações comerciais e econômicas entre o Brasil e regiões onde há hispanofalantes.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Cadernos da FUCAMP, v. 19, n. 37, p. 155–170, 2020. Disponível em: https://revistas.fucamp.edu.br/index.php/cadernos/article/view/2243. Acesso em: 12 out. 2025.</w:t>
      </w:r>
    </w:p>
    <w:p w14:paraId="6C7F9A43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Conheça as 10 línguas mais faladas no mundo. 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Universidade Metodista de São Paulo, 2023.  Disponível em: https://metodista.br/noticias/conheca-as-10-linguas-mais-faladas-no-mundo. Acesso em: 01 abr. 2025.</w:t>
      </w:r>
    </w:p>
    <w:p w14:paraId="23B22944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CRYSTAL, D.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English as a global language.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Cambridge: Cambridge University Press, 2003.</w:t>
      </w:r>
    </w:p>
    <w:p w14:paraId="49F9AAD0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CVC – CENTRO VIRTUAL CERVANTES.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Anuário do Instituto Cervantes 2023: índice. 2023.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Disponível em: https://cvc.cervantes.es/lengua/anuario/anuario_23/. Acesso em: 1 abr. 2025.</w:t>
      </w:r>
    </w:p>
    <w:p w14:paraId="073B2407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ESPANHOL E MERCADO DE TRABALHO: perspectivas para o futuro.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CNA, 2025. Disponível em: https://www.cna.com.br/blog/estudos/futuro-do-espanhol. Acesso em: 1 abr. 2025.</w:t>
      </w:r>
    </w:p>
    <w:p w14:paraId="79180CD5">
      <w:pPr>
        <w:pStyle w:val="13"/>
        <w:keepNext w:val="0"/>
        <w:keepLines w:val="0"/>
        <w:widowControl/>
        <w:suppressLineNumbers w:val="0"/>
        <w:bidi w:val="0"/>
        <w:spacing w:before="0" w:beforeAutospacing="0" w:after="0" w:afterAutospacing="0" w:line="15" w:lineRule="atLeast"/>
        <w:jc w:val="left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Espanhol pelo mundo.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Só Espanhol. Virtuous Tecnologia da Informação, 2008-2025. Disponível em:</w:t>
      </w:r>
      <w:r>
        <w:rPr>
          <w:rFonts w:hint="default" w:cs="Times New Roman"/>
          <w:i w:val="0"/>
          <w:iCs w:val="0"/>
          <w:color w:val="000000"/>
          <w:sz w:val="24"/>
          <w:szCs w:val="24"/>
          <w:u w:val="none"/>
          <w:vertAlign w:val="baseline"/>
          <w:lang w:val="pt-BR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http://www.soespanhol.com.br/conteudo/Diversos_Espanhol_pelo_mundo.php. Acesso em 03 Nov. 2025.</w:t>
      </w:r>
    </w:p>
    <w:p w14:paraId="75508D7A">
      <w:pPr>
        <w:pStyle w:val="13"/>
        <w:keepNext w:val="0"/>
        <w:keepLines w:val="0"/>
        <w:widowControl/>
        <w:suppressLineNumbers w:val="0"/>
        <w:bidi w:val="0"/>
        <w:spacing w:before="0" w:beforeAutospacing="0" w:after="0" w:afterAutospacing="0" w:line="15" w:lineRule="atLeast"/>
        <w:jc w:val="left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7E7C8DB4">
      <w:pPr>
        <w:pStyle w:val="13"/>
        <w:keepNext w:val="0"/>
        <w:keepLines w:val="0"/>
        <w:widowControl/>
        <w:suppressLineNumbers w:val="0"/>
        <w:bidi w:val="0"/>
        <w:spacing w:before="0" w:beforeAutospacing="0" w:after="16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GIL, Antonio Carlos.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Como elaborar projetos de pesquisa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. 6. ed. São Paulo: Atlas, 2019.</w:t>
      </w:r>
    </w:p>
    <w:p w14:paraId="14DF1CEC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GONZÁLEZ, J. et al.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The Importance of Spanish Language Skills in Business: A Survey of UK Employers.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Language Learning in Higher Education, v. 10, n. 2, p. 401-422, 2020.</w:t>
      </w:r>
    </w:p>
    <w:p w14:paraId="2FAF741A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  <w:lang w:val="pt-BR"/>
        </w:rPr>
      </w:pPr>
      <w:r>
        <w:rPr>
          <w:rFonts w:hint="default" w:ascii="Times New Roman" w:hAnsi="Times New Roman" w:eastAsia="SimSun" w:cs="Times New Roman"/>
          <w:sz w:val="24"/>
          <w:szCs w:val="24"/>
        </w:rPr>
        <w:t xml:space="preserve">H&amp;CO. </w:t>
      </w:r>
      <w:r>
        <w:rPr>
          <w:rFonts w:hint="default" w:ascii="Times New Roman" w:hAnsi="Times New Roman" w:eastAsia="SimSun" w:cs="Times New Roman"/>
          <w:b/>
          <w:bCs/>
          <w:sz w:val="24"/>
          <w:szCs w:val="24"/>
        </w:rPr>
        <w:t>Mercosul: Integração e Expansão Comercial</w:t>
      </w:r>
      <w:r>
        <w:rPr>
          <w:rFonts w:hint="default" w:ascii="Times New Roman" w:hAnsi="Times New Roman" w:eastAsia="SimSun" w:cs="Times New Roman"/>
          <w:sz w:val="24"/>
          <w:szCs w:val="24"/>
        </w:rPr>
        <w:t>. 2025. Disponível em:</w:t>
      </w:r>
      <w:r>
        <w:rPr>
          <w:rFonts w:hint="default" w:cs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 w:eastAsia="SimSun" w:cs="Times New Roman"/>
          <w:sz w:val="24"/>
          <w:szCs w:val="24"/>
        </w:rPr>
        <w:t>https://www.hco.com/pt/insights/mercosul-objetivos-e-desafios#:~:text=Mercosul:%20objetivos%20de%20integra%C3%A7%C3%A3o&amp;text=%E2%80%A2-,A%20livre%20circula%C3%A7%C3%A3o%20de%20bens%2C%20servi%C3%A7os%20e%20fatores%20produtivos%20entre,aduaneiros%20e%20restri%C3%A7%C3%B5es%20n%C3%A3o%20tarif%C3%A1rias.&amp;text=A%20ado%C3%A7%C3%A3o%20de%20uma%20pol%C3%ADtica,em%20rela%C3%A7%C3%A3o%20a%20terceiros%20pa%C3%ADses.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 </w:t>
      </w:r>
      <w:r>
        <w:rPr>
          <w:rFonts w:hint="default" w:ascii="Times New Roman" w:hAnsi="Times New Roman" w:eastAsia="SimSun" w:cs="Times New Roman"/>
          <w:sz w:val="24"/>
          <w:szCs w:val="24"/>
        </w:rPr>
        <w:t xml:space="preserve">Acesso em: 18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nov.</w:t>
      </w:r>
      <w:r>
        <w:rPr>
          <w:rFonts w:hint="default" w:ascii="Times New Roman" w:hAnsi="Times New Roman" w:eastAsia="SimSun" w:cs="Times New Roman"/>
          <w:sz w:val="24"/>
          <w:szCs w:val="24"/>
        </w:rPr>
        <w:t xml:space="preserve"> 202</w:t>
      </w:r>
      <w:r>
        <w:rPr>
          <w:rFonts w:hint="default" w:cs="Times New Roman"/>
          <w:sz w:val="24"/>
          <w:szCs w:val="24"/>
          <w:lang w:val="pt-BR"/>
        </w:rPr>
        <w:t>5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.</w:t>
      </w:r>
    </w:p>
    <w:p w14:paraId="6AA2758E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HOFSTEDE, G.; et al.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Cultures and organizations: software of the mind. 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New York: McGraw-Hill, 2010.</w:t>
      </w:r>
    </w:p>
    <w:p w14:paraId="2578C6C6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INSTITUTO DE PESQUISA ECONÔMICA APLICADA (IPEA).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Estratégias de integração f7909930005815 fronteiriça no Brasil.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Brasília: IPEA, 2023. Disponível em: https://www.ipea.gov.br. Acesso em: 12 out. 2025.</w:t>
      </w:r>
    </w:p>
    <w:p w14:paraId="1436F844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INTERNATIONAL JOURNAL OF SOCIAL SCIENCE AND ECONOMIC RESEARCH.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 xml:space="preserve"> Discrepancies Caused by Language Barriers in Business Communication.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v. 8, n. 80, p. 154–166, 2023. Disponível em: https://ijsser.org/2023files/ijsser_08__80.pdf. Acesso em: 12 out. 2025.</w:t>
      </w:r>
    </w:p>
    <w:p w14:paraId="61B29DD3">
      <w:pPr>
        <w:pStyle w:val="13"/>
        <w:keepNext w:val="0"/>
        <w:keepLines w:val="0"/>
        <w:widowControl/>
        <w:suppressLineNumbers w:val="0"/>
        <w:bidi w:val="0"/>
        <w:spacing w:before="0" w:beforeAutospacing="0" w:after="0" w:afterAutospacing="0" w:line="15" w:lineRule="atLeast"/>
        <w:jc w:val="left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MENDONÇA, Gustavo Henrique.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Mercosul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. Mundo Educação. Disponível em: https://mundoeducacao.uol.com.br/geografia/mercosul.htm.  Acesso em: 10  Nov. 2025.</w:t>
      </w:r>
    </w:p>
    <w:p w14:paraId="76493E5B">
      <w:pPr>
        <w:pStyle w:val="13"/>
        <w:keepNext w:val="0"/>
        <w:keepLines w:val="0"/>
        <w:widowControl/>
        <w:suppressLineNumbers w:val="0"/>
        <w:bidi w:val="0"/>
        <w:spacing w:before="0" w:beforeAutospacing="0" w:after="0" w:afterAutospacing="0" w:line="15" w:lineRule="atLeast"/>
        <w:jc w:val="left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</w:p>
    <w:p w14:paraId="2957CD7E">
      <w:pPr>
        <w:pStyle w:val="13"/>
        <w:keepNext w:val="0"/>
        <w:keepLines w:val="0"/>
        <w:widowControl/>
        <w:suppressLineNumbers w:val="0"/>
        <w:bidi w:val="0"/>
        <w:spacing w:before="0" w:beforeAutospacing="0" w:after="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MINISTÉRIO da Economia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. Comex Stat. Base de Dados. 2025. Disponível em: http://comexstat.mdic.gov.br/pt/home. Acesso em: 14 nov. 2025.</w:t>
      </w:r>
    </w:p>
    <w:p w14:paraId="6436DAD1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NASCIMENTO, Helton R. F.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O secretário executivo bilíngue como agente facilitador em negociações do Mercosul.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Revista Pesquisa e Ação, v. 3, n. 1, p. 45–58, 2017.</w:t>
      </w:r>
    </w:p>
    <w:p w14:paraId="428F31A2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OHMAE, K.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The borderless world: power and strategy in the interlinked economy.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New York: Harper Business, 1990.</w:t>
      </w:r>
    </w:p>
    <w:p w14:paraId="46A13D99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OLIVA, R.; BARBOSA, M.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Espanhol e mercado de trabalho: perspectivas para o futuro.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Alomorfia, 2023. Disponível em: https://fatecpp.edu.br/alomorfia/index.php/alomorfia/article/download/186/83/811. Acesso em: 1 abr. 2025.</w:t>
      </w:r>
    </w:p>
    <w:p w14:paraId="6A21729C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ORGANIZAÇÃO DOS ESTADOS IBERO-AMERICANOS (OEI).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  CILPE 2022 – Línguas, Cultura, Ciência e Inovação. Madrid: OEI, 2022.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Disponível em: https://oei.int. Acesso em: 12 out. 2025.</w:t>
      </w:r>
    </w:p>
    <w:p w14:paraId="281EF6CA">
      <w:pPr>
        <w:pStyle w:val="13"/>
        <w:keepNext w:val="0"/>
        <w:keepLines w:val="0"/>
        <w:widowControl/>
        <w:suppressLineNumbers w:val="0"/>
        <w:shd w:val="clear" w:fill="FFFFFF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</w:rPr>
        <w:t>PARAQUETT, et al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</w:rPr>
        <w:t>.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</w:rPr>
        <w:t xml:space="preserve">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</w:rPr>
        <w:t>O cenário escolar e acadêmico do Brasil antes e depois da “Lei do Espanhol".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</w:rPr>
        <w:t xml:space="preserve"> Abehache, n. 15, p. 69-90, 1º semestre, 2019. Disponível em:</w:t>
      </w:r>
      <w:r>
        <w:rPr>
          <w:rFonts w:hint="default" w:cs="Times New Roman"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  <w:lang w:val="pt-BR"/>
        </w:rPr>
        <w:t xml:space="preserve"> 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shd w:val="clear" w:fill="FFFFFF"/>
          <w:vertAlign w:val="baseline"/>
        </w:rPr>
        <w:t>https://repositorio.ufba.br/bitstream/ri/34045/1/2019%20O%20cen%C3%A1rio%20escolar%20e%20acad%C3%AAmico%20do%20Brasil%20antes%20e%20depois%20da%20Lei%20do%20Espanhol.pdf . Acesso em: 10  Nov. 2025.</w:t>
      </w:r>
    </w:p>
    <w:p w14:paraId="76F1E1D4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PENA, Rodolfo F. Alves.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"Mercosul: Países Integrantes"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. Brasil Escola. Disponível em: https://brasilescola.uol.com.br/geografia/mercosul-paises-integrantes.htm . Acesso em 03 Nov. 2025.</w:t>
      </w:r>
    </w:p>
    <w:p w14:paraId="3DEC539A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PEREIRA FILHO, Eduardo.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A comunicação intercultural e o marketing internacional: a importância da adaptação cultural. Revista de Gestão Internacional,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v. 12, n. 2, p. 33–45, 2017.</w:t>
      </w:r>
    </w:p>
    <w:p w14:paraId="7AC5589B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PODER360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. Brasil responde por 72% do PIB nominal do Mercosul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. Poder360, 2024. Disponível em:</w:t>
      </w:r>
      <w:r>
        <w:rPr>
          <w:rFonts w:hint="default" w:ascii="Times New Roman" w:hAnsi="Times New Roman" w:cs="Times New Roman"/>
          <w:sz w:val="24"/>
          <w:szCs w:val="24"/>
          <w:u w:val="none"/>
        </w:rPr>
        <w:fldChar w:fldCharType="begin"/>
      </w:r>
      <w:r>
        <w:rPr>
          <w:rFonts w:hint="default" w:ascii="Times New Roman" w:hAnsi="Times New Roman" w:cs="Times New Roman"/>
          <w:sz w:val="24"/>
          <w:szCs w:val="24"/>
          <w:u w:val="none"/>
        </w:rPr>
        <w:instrText xml:space="preserve"> HYPERLINK "https://www.poder360.com.br/economia/brasil-responde-por-72-do-pib-nominal-do-mercosul/" \l ":~:text=BALAN%C3%87A COMERCIAL,253,8 bilh%C3%B5es em importa%C3%A7%C3%B5es" </w:instrText>
      </w:r>
      <w:r>
        <w:rPr>
          <w:rFonts w:hint="default" w:ascii="Times New Roman" w:hAnsi="Times New Roman" w:cs="Times New Roman"/>
          <w:sz w:val="24"/>
          <w:szCs w:val="24"/>
          <w:u w:val="none"/>
        </w:rPr>
        <w:fldChar w:fldCharType="separate"/>
      </w:r>
      <w:r>
        <w:rPr>
          <w:rStyle w:val="11"/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u w:val="none"/>
        </w:rPr>
        <w:fldChar w:fldCharType="end"/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https://www.poder360.com.br/economia/brasil-responde-por-72-do-pib-nominal-do-mercosul/#:~:text=BALAN%C3%87A%20COMERCIAL,253%2C8%20bilh%C3%B5es%20em%20importa%C3%A7%C3%B5es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. Acesso em: 1 abr. 2025.</w:t>
      </w:r>
    </w:p>
    <w:p w14:paraId="78FC4A6C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SEDYCIAS, J.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O ensino do espanhol no Brasil: passado, presente e futuro.</w:t>
      </w:r>
      <w:r>
        <w:rPr>
          <w:rFonts w:hint="default" w:ascii="Times New Roman" w:hAnsi="Times New Roman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São Paulo: Parábola, 2005.</w:t>
      </w:r>
    </w:p>
    <w:p w14:paraId="3F798870">
      <w:pPr>
        <w:pStyle w:val="13"/>
        <w:keepNext w:val="0"/>
        <w:keepLines w:val="0"/>
        <w:widowControl/>
        <w:suppressLineNumbers w:val="0"/>
        <w:bidi w:val="0"/>
        <w:spacing w:before="0" w:beforeAutospacing="0" w:after="16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SOUZA, Ayrton Ribeiro de.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Políticas Linguísticas no Âmbito do MERCOSUL Educacional: Contribuições da Integração Regional para o Ensino do Espanhol no Brasil.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Nº 74, VOL. ESP., Salvador, 2022. p. 97-125.</w:t>
      </w:r>
    </w:p>
    <w:p w14:paraId="77E1E2A7">
      <w:pPr>
        <w:pStyle w:val="13"/>
        <w:keepNext w:val="0"/>
        <w:keepLines w:val="0"/>
        <w:widowControl/>
        <w:suppressLineNumbers w:val="0"/>
        <w:bidi w:val="0"/>
        <w:spacing w:before="300" w:beforeAutospacing="0" w:after="300" w:afterAutospacing="0" w:line="15" w:lineRule="atLeast"/>
        <w:jc w:val="left"/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TEIXEIRA, Tiago de Souza.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 xml:space="preserve"> A importância da cultura nas negociações internacionais. Revista CALEA, 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>v. 1, n. 2, p. 44–54, 2023. Disponível em: https://periodicos.uesc.br/index.php/calea/article/view/2157. Acesso em: 12 out. 2025.</w:t>
      </w:r>
    </w:p>
    <w:p w14:paraId="640BE7D0">
      <w:pPr>
        <w:pStyle w:val="13"/>
        <w:keepNext w:val="0"/>
        <w:keepLines w:val="0"/>
        <w:widowControl/>
        <w:suppressLineNumbers w:val="0"/>
        <w:bidi w:val="0"/>
        <w:spacing w:before="300" w:beforeAutospacing="0" w:after="30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br w:type="textWrapping"/>
      </w:r>
      <w:r>
        <w:rPr>
          <w:rFonts w:hint="default" w:ascii="Times New Roman" w:hAnsi="Times New Roman" w:eastAsia="SimSun" w:cs="Times New Roman"/>
          <w:sz w:val="24"/>
          <w:szCs w:val="24"/>
        </w:rPr>
        <w:t xml:space="preserve">VILELA, Wisley; PIMENTEL, Janine. </w:t>
      </w:r>
      <w:r>
        <w:rPr>
          <w:rFonts w:hint="default" w:ascii="Times New Roman" w:hAnsi="Times New Roman" w:eastAsia="SimSun" w:cs="Times New Roman"/>
          <w:b/>
          <w:bCs/>
          <w:sz w:val="24"/>
          <w:szCs w:val="24"/>
        </w:rPr>
        <w:t>O perfil de tradutores de textos especializados atuantes no mercado brasileiro</w:t>
      </w:r>
      <w:r>
        <w:rPr>
          <w:rFonts w:hint="default" w:ascii="Times New Roman" w:hAnsi="Times New Roman" w:eastAsia="SimSun" w:cs="Times New Roman"/>
          <w:sz w:val="24"/>
          <w:szCs w:val="24"/>
        </w:rPr>
        <w:t xml:space="preserve">: perspectivas, problemas e expectativas. TradTerm, São Paulo, v. 33, p. 70-97, maio 2019. Disponível em: https://doi.org/10.11606/issn.2317-9511.v33i0p70-97. Acesso em: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 xml:space="preserve">20 </w:t>
      </w:r>
      <w:r>
        <w:rPr>
          <w:rFonts w:hint="default" w:ascii="Times New Roman" w:hAnsi="Times New Roman" w:eastAsia="SimSun" w:cs="Times New Roman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nov</w:t>
      </w:r>
      <w:r>
        <w:rPr>
          <w:rFonts w:hint="default" w:ascii="Times New Roman" w:hAnsi="Times New Roman" w:eastAsia="SimSun" w:cs="Times New Roman"/>
          <w:sz w:val="24"/>
          <w:szCs w:val="24"/>
        </w:rPr>
        <w:t>. 202</w:t>
      </w:r>
      <w:r>
        <w:rPr>
          <w:rFonts w:hint="default" w:ascii="Times New Roman" w:hAnsi="Times New Roman" w:cs="Times New Roman"/>
          <w:sz w:val="24"/>
          <w:szCs w:val="24"/>
          <w:lang w:val="pt-BR"/>
        </w:rPr>
        <w:t>5</w:t>
      </w:r>
      <w:r>
        <w:rPr>
          <w:rFonts w:hint="default" w:ascii="Times New Roman" w:hAnsi="Times New Roman" w:eastAsia="SimSun" w:cs="Times New Roman"/>
          <w:sz w:val="24"/>
          <w:szCs w:val="24"/>
        </w:rPr>
        <w:t>.</w:t>
      </w:r>
    </w:p>
    <w:p w14:paraId="27831DD1">
      <w:pPr>
        <w:pStyle w:val="13"/>
        <w:keepNext w:val="0"/>
        <w:keepLines w:val="0"/>
        <w:widowControl/>
        <w:suppressLineNumbers w:val="0"/>
        <w:bidi w:val="0"/>
        <w:spacing w:before="240" w:beforeAutospacing="0" w:after="240" w:afterAutospacing="0" w:line="15" w:lineRule="atLeast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ZHAO, Wenqian. </w:t>
      </w:r>
      <w:r>
        <w:rPr>
          <w:rFonts w:hint="default" w:ascii="Times New Roman" w:hAnsi="Times New Roman" w:cs="Times New Roman"/>
          <w:b/>
          <w:bCs/>
          <w:i w:val="0"/>
          <w:iCs w:val="0"/>
          <w:color w:val="000000"/>
          <w:sz w:val="24"/>
          <w:szCs w:val="24"/>
          <w:u w:val="none"/>
          <w:vertAlign w:val="baseline"/>
        </w:rPr>
        <w:t>Interpreter Intervention: Balancing Objectivity and Subjectivity in Business Negotiations. Journal of Social Sciences, Humanities and Linguistics,</w:t>
      </w:r>
      <w:r>
        <w:rPr>
          <w:rFonts w:hint="default" w:ascii="Times New Roman" w:hAnsi="Times New Roman" w:cs="Times New Roman"/>
          <w:i w:val="0"/>
          <w:iCs w:val="0"/>
          <w:color w:val="000000"/>
          <w:sz w:val="24"/>
          <w:szCs w:val="24"/>
          <w:u w:val="none"/>
          <w:vertAlign w:val="baseline"/>
        </w:rPr>
        <w:t xml:space="preserve"> v. 1, n. 2, p. 101–113, 2024. Disponível em: https://adwenpub.com/index.php/jsshl/article/view/398. Acesso em: 12 out. 2025.</w:t>
      </w:r>
    </w:p>
    <w:sectPr>
      <w:headerReference r:id="rId5" w:type="default"/>
      <w:footnotePr>
        <w:numFmt w:val="decimal"/>
      </w:footnotePr>
      <w:pgSz w:w="11906" w:h="16838"/>
      <w:pgMar w:top="1701" w:right="1134" w:bottom="1134" w:left="1701" w:header="1134" w:footer="0" w:gutter="0"/>
      <w:pgNumType w:fmt="decimal" w:start="13"/>
      <w:cols w:space="720" w:num="1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roman"/>
    <w:pitch w:val="default"/>
    <w:sig w:usb0="E4002EFF" w:usb1="C000E47F" w:usb2="00000009" w:usb3="00000000" w:csb0="200001FF" w:csb1="00000000"/>
  </w:font>
  <w:font w:name="Liberation Serif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Mangal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Lucida Sans">
    <w:panose1 w:val="020B0602030504020204"/>
    <w:charset w:val="00"/>
    <w:family w:val="auto"/>
    <w:pitch w:val="default"/>
    <w:sig w:usb0="00000003" w:usb1="00000000" w:usb2="00000000" w:usb3="00000000" w:csb0="20000001" w:csb1="00000000"/>
  </w:font>
  <w:font w:name="Liberation Sans">
    <w:altName w:val="Arial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36909342"/>
      <w:docPartObj>
        <w:docPartGallery w:val="autotext"/>
      </w:docPartObj>
    </w:sdtPr>
    <w:sdtContent>
      <w:p w14:paraId="73B4A13D">
        <w:pPr>
          <w:pStyle w:val="9"/>
          <w:jc w:val="right"/>
          <w:rPr>
            <w:rFonts w:ascii="Times New Roman" w:hAnsi="Times New Roman" w:cs="Times New Roman"/>
          </w:rPr>
        </w:pPr>
        <w:r>
          <w:rPr>
            <w:rFonts w:ascii="Times New Roman" w:hAnsi="Times New Roman" w:cs="Times New Roman"/>
          </w:rPr>
          <w:fldChar w:fldCharType="begin"/>
        </w:r>
        <w:r>
          <w:rPr>
            <w:rFonts w:ascii="Times New Roman" w:hAnsi="Times New Roman" w:cs="Times New Roman"/>
          </w:rPr>
          <w:instrText xml:space="preserve">PAGE</w:instrText>
        </w:r>
        <w:r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</w:rPr>
          <w:t>14</w:t>
        </w:r>
        <w:r>
          <w:rPr>
            <w:rFonts w:ascii="Times New Roman" w:hAnsi="Times New Roman" w:cs="Times New Roman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2E1D6FB"/>
    <w:multiLevelType w:val="singleLevel"/>
    <w:tmpl w:val="C2E1D6FB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FAD312C"/>
    <w:rsid w:val="117859A3"/>
    <w:rsid w:val="12275387"/>
    <w:rsid w:val="16A14093"/>
    <w:rsid w:val="1E244E54"/>
    <w:rsid w:val="212C4B25"/>
    <w:rsid w:val="7A9F14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f">
      <v:fill on="t" focussize="0,0"/>
      <v:stroke on="f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/>
      <w:bidi w:val="0"/>
      <w:spacing w:before="0" w:after="200" w:line="276" w:lineRule="auto"/>
      <w:jc w:val="left"/>
    </w:pPr>
    <w:rPr>
      <w:rFonts w:asciiTheme="minorHAnsi" w:hAnsiTheme="minorHAnsi" w:eastAsiaTheme="minorEastAsia" w:cstheme="minorBidi"/>
      <w:color w:val="auto"/>
      <w:kern w:val="0"/>
      <w:sz w:val="22"/>
      <w:szCs w:val="22"/>
      <w:lang w:val="pt-BR" w:eastAsia="pt-BR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21"/>
    <w:semiHidden/>
    <w:unhideWhenUsed/>
    <w:qFormat/>
    <w:uiPriority w:val="99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paragraph" w:styleId="5">
    <w:name w:val="Body Text"/>
    <w:basedOn w:val="1"/>
    <w:link w:val="15"/>
    <w:qFormat/>
    <w:uiPriority w:val="0"/>
    <w:pPr>
      <w:widowControl w:val="0"/>
      <w:suppressAutoHyphens/>
      <w:spacing w:before="0" w:after="140" w:line="288" w:lineRule="auto"/>
      <w:textAlignment w:val="baseline"/>
    </w:pPr>
    <w:rPr>
      <w:rFonts w:ascii="Liberation Serif" w:hAnsi="Liberation Serif" w:eastAsia="SimSun" w:cs="Mangal"/>
      <w:kern w:val="2"/>
      <w:sz w:val="24"/>
      <w:szCs w:val="24"/>
      <w:lang w:eastAsia="zh-CN" w:bidi="hi-IN"/>
    </w:rPr>
  </w:style>
  <w:style w:type="paragraph" w:styleId="6">
    <w:name w:val="caption"/>
    <w:basedOn w:val="1"/>
    <w:unhideWhenUsed/>
    <w:qFormat/>
    <w:uiPriority w:val="35"/>
    <w:pPr>
      <w:spacing w:line="240" w:lineRule="auto"/>
    </w:pPr>
    <w:rPr>
      <w:rFonts w:ascii="Cambria" w:hAnsi="Cambria" w:eastAsia="Cambria" w:cs="Cambria"/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7">
    <w:name w:val="footer"/>
    <w:basedOn w:val="1"/>
    <w:link w:val="17"/>
    <w:unhideWhenUsed/>
    <w:qFormat/>
    <w:uiPriority w:val="99"/>
    <w:pPr>
      <w:tabs>
        <w:tab w:val="center" w:pos="4252"/>
        <w:tab w:val="right" w:pos="8504"/>
      </w:tabs>
      <w:spacing w:before="0" w:after="0" w:line="240" w:lineRule="auto"/>
    </w:pPr>
  </w:style>
  <w:style w:type="paragraph" w:styleId="8">
    <w:name w:val="footnote text"/>
    <w:basedOn w:val="1"/>
    <w:link w:val="22"/>
    <w:semiHidden/>
    <w:unhideWhenUsed/>
    <w:qFormat/>
    <w:uiPriority w:val="99"/>
    <w:pPr>
      <w:spacing w:before="0" w:after="0" w:line="240" w:lineRule="auto"/>
    </w:pPr>
    <w:rPr>
      <w:sz w:val="20"/>
      <w:szCs w:val="20"/>
    </w:rPr>
  </w:style>
  <w:style w:type="paragraph" w:styleId="9">
    <w:name w:val="header"/>
    <w:basedOn w:val="1"/>
    <w:link w:val="16"/>
    <w:unhideWhenUsed/>
    <w:qFormat/>
    <w:uiPriority w:val="99"/>
    <w:pPr>
      <w:tabs>
        <w:tab w:val="center" w:pos="4252"/>
        <w:tab w:val="right" w:pos="8504"/>
      </w:tabs>
      <w:spacing w:before="0" w:after="0" w:line="240" w:lineRule="auto"/>
    </w:pPr>
  </w:style>
  <w:style w:type="paragraph" w:styleId="10">
    <w:name w:val="HTML Preformatted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SimSun" w:hAnsi="SimSun" w:eastAsia="SimSun" w:cs="SimSun"/>
      <w:kern w:val="0"/>
      <w:sz w:val="24"/>
      <w:szCs w:val="24"/>
      <w:lang w:val="en-US" w:eastAsia="zh-CN" w:bidi="ar"/>
    </w:rPr>
  </w:style>
  <w:style w:type="character" w:styleId="11">
    <w:name w:val="Hyperlink"/>
    <w:basedOn w:val="2"/>
    <w:semiHidden/>
    <w:unhideWhenUsed/>
    <w:qFormat/>
    <w:uiPriority w:val="0"/>
    <w:rPr>
      <w:color w:val="0000FF"/>
      <w:u w:val="single"/>
    </w:rPr>
  </w:style>
  <w:style w:type="paragraph" w:styleId="12">
    <w:name w:val="List"/>
    <w:basedOn w:val="5"/>
    <w:qFormat/>
    <w:uiPriority w:val="0"/>
    <w:rPr>
      <w:rFonts w:cs="Lucida Sans"/>
    </w:rPr>
  </w:style>
  <w:style w:type="paragraph" w:styleId="13">
    <w:name w:val="Normal (Web)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Cs w:val="24"/>
      <w:lang w:val="en-US" w:eastAsia="zh-CN" w:bidi="ar"/>
    </w:rPr>
  </w:style>
  <w:style w:type="table" w:styleId="14">
    <w:name w:val="Table Grid"/>
    <w:basedOn w:val="3"/>
    <w:unhideWhenUsed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5">
    <w:name w:val="Corpo de texto Char"/>
    <w:basedOn w:val="2"/>
    <w:link w:val="5"/>
    <w:qFormat/>
    <w:uiPriority w:val="0"/>
    <w:rPr>
      <w:rFonts w:ascii="Liberation Serif" w:hAnsi="Liberation Serif" w:eastAsia="SimSun" w:cs="Mangal"/>
      <w:kern w:val="2"/>
      <w:sz w:val="24"/>
      <w:szCs w:val="24"/>
      <w:lang w:eastAsia="zh-CN" w:bidi="hi-IN"/>
    </w:rPr>
  </w:style>
  <w:style w:type="character" w:customStyle="1" w:styleId="16">
    <w:name w:val="Cabeçalho Char"/>
    <w:basedOn w:val="2"/>
    <w:link w:val="9"/>
    <w:qFormat/>
    <w:uiPriority w:val="99"/>
  </w:style>
  <w:style w:type="character" w:customStyle="1" w:styleId="17">
    <w:name w:val="Rodapé Char"/>
    <w:basedOn w:val="2"/>
    <w:link w:val="7"/>
    <w:qFormat/>
    <w:uiPriority w:val="99"/>
  </w:style>
  <w:style w:type="character" w:customStyle="1" w:styleId="18">
    <w:name w:val="Link da Internet"/>
    <w:qFormat/>
    <w:uiPriority w:val="0"/>
    <w:rPr>
      <w:color w:val="0000FF"/>
      <w:u w:val="single"/>
    </w:rPr>
  </w:style>
  <w:style w:type="character" w:customStyle="1" w:styleId="19">
    <w:name w:val="apple-converted-space"/>
    <w:qFormat/>
    <w:uiPriority w:val="0"/>
  </w:style>
  <w:style w:type="character" w:customStyle="1" w:styleId="20">
    <w:name w:val="Ênfase1"/>
    <w:qFormat/>
    <w:uiPriority w:val="20"/>
    <w:rPr>
      <w:i/>
      <w:iCs/>
    </w:rPr>
  </w:style>
  <w:style w:type="character" w:customStyle="1" w:styleId="21">
    <w:name w:val="Texto de balão Char"/>
    <w:basedOn w:val="2"/>
    <w:link w:val="4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2">
    <w:name w:val="Texto de nota de rodapé Char"/>
    <w:basedOn w:val="2"/>
    <w:link w:val="8"/>
    <w:semiHidden/>
    <w:qFormat/>
    <w:uiPriority w:val="99"/>
    <w:rPr>
      <w:sz w:val="20"/>
      <w:szCs w:val="20"/>
    </w:rPr>
  </w:style>
  <w:style w:type="character" w:customStyle="1" w:styleId="23">
    <w:name w:val="Âncora da nota de rodapé"/>
    <w:qFormat/>
    <w:uiPriority w:val="0"/>
    <w:rPr>
      <w:vertAlign w:val="superscript"/>
    </w:rPr>
  </w:style>
  <w:style w:type="character" w:customStyle="1" w:styleId="24">
    <w:name w:val="Footnote Characters"/>
    <w:basedOn w:val="2"/>
    <w:semiHidden/>
    <w:unhideWhenUsed/>
    <w:qFormat/>
    <w:uiPriority w:val="99"/>
    <w:rPr>
      <w:vertAlign w:val="superscript"/>
    </w:rPr>
  </w:style>
  <w:style w:type="character" w:customStyle="1" w:styleId="25">
    <w:name w:val="Link da internet visitado"/>
    <w:basedOn w:val="2"/>
    <w:semiHidden/>
    <w:unhideWhenUsed/>
    <w:qFormat/>
    <w:uiPriority w:val="99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customStyle="1" w:styleId="26">
    <w:name w:val="Caracteres de nota de rodapé"/>
    <w:qFormat/>
    <w:uiPriority w:val="0"/>
  </w:style>
  <w:style w:type="character" w:customStyle="1" w:styleId="27">
    <w:name w:val="Âncora da nota de fim"/>
    <w:qFormat/>
    <w:uiPriority w:val="0"/>
    <w:rPr>
      <w:vertAlign w:val="superscript"/>
    </w:rPr>
  </w:style>
  <w:style w:type="character" w:customStyle="1" w:styleId="28">
    <w:name w:val="Caracteres de nota de fim"/>
    <w:qFormat/>
    <w:uiPriority w:val="0"/>
  </w:style>
  <w:style w:type="paragraph" w:customStyle="1" w:styleId="29">
    <w:name w:val="Título1"/>
    <w:basedOn w:val="1"/>
    <w:next w:val="5"/>
    <w:qFormat/>
    <w:uiPriority w:val="0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customStyle="1" w:styleId="30">
    <w:name w:val="Índice"/>
    <w:basedOn w:val="1"/>
    <w:qFormat/>
    <w:uiPriority w:val="0"/>
    <w:pPr>
      <w:suppressLineNumbers/>
    </w:pPr>
    <w:rPr>
      <w:rFonts w:cs="Lucida Sans"/>
    </w:rPr>
  </w:style>
  <w:style w:type="paragraph" w:customStyle="1" w:styleId="31">
    <w:name w:val="Cabeçalho e Rodapé"/>
    <w:basedOn w:val="1"/>
    <w:qFormat/>
    <w:uiPriority w:val="0"/>
  </w:style>
  <w:style w:type="paragraph" w:customStyle="1" w:styleId="32">
    <w:name w:val="Conteúdo da tabela"/>
    <w:basedOn w:val="1"/>
    <w:qFormat/>
    <w:uiPriority w:val="0"/>
    <w:pPr>
      <w:widowControl w:val="0"/>
      <w:suppressLineNumbers/>
      <w:suppressAutoHyphens/>
      <w:spacing w:before="0" w:after="0" w:line="240" w:lineRule="auto"/>
      <w:textAlignment w:val="baseline"/>
    </w:pPr>
    <w:rPr>
      <w:rFonts w:ascii="Liberation Serif" w:hAnsi="Liberation Serif" w:eastAsia="SimSun" w:cs="Mangal"/>
      <w:kern w:val="2"/>
      <w:sz w:val="24"/>
      <w:szCs w:val="24"/>
      <w:lang w:eastAsia="zh-CN" w:bidi="hi-IN"/>
    </w:rPr>
  </w:style>
  <w:style w:type="paragraph" w:customStyle="1" w:styleId="33">
    <w:name w:val="Normal1"/>
    <w:qFormat/>
    <w:uiPriority w:val="0"/>
    <w:pPr>
      <w:widowControl/>
      <w:bidi w:val="0"/>
      <w:spacing w:before="0" w:after="200" w:line="276" w:lineRule="auto"/>
      <w:jc w:val="left"/>
    </w:pPr>
    <w:rPr>
      <w:rFonts w:asciiTheme="minorHAnsi" w:hAnsiTheme="minorHAnsi" w:eastAsiaTheme="minorEastAsia" w:cstheme="minorBidi"/>
      <w:color w:val="auto"/>
      <w:kern w:val="0"/>
      <w:sz w:val="22"/>
      <w:szCs w:val="22"/>
      <w:lang w:val="pt-BR" w:eastAsia="pt-BR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emf"/><Relationship Id="rId8" Type="http://schemas.openxmlformats.org/officeDocument/2006/relationships/oleObject" Target="embeddings/oleObject1.bin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numbering" Target="numbering.xml"/><Relationship Id="rId11" Type="http://schemas.openxmlformats.org/officeDocument/2006/relationships/image" Target="media/image4.png"/><Relationship Id="rId10" Type="http://schemas.openxmlformats.org/officeDocument/2006/relationships/image" Target="media/image3.GIF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1AD06C-5FBF-473D-97FA-304F2E34518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32</Pages>
  <Words>5863</Words>
  <Characters>36679</Characters>
  <Paragraphs>280</Paragraphs>
  <TotalTime>96</TotalTime>
  <ScaleCrop>false</ScaleCrop>
  <LinksUpToDate>false</LinksUpToDate>
  <CharactersWithSpaces>42565</CharactersWithSpaces>
  <Application>WPS Office_12.1.0.25242_F1E327BC-269C-435d-A152-05C5408002CA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2021-10-28T20:24:00Z</dcterms:created>
  <dc:creator>usuario</dc:creator>
  <cp:lastModifiedBy>sacgabriel</cp:lastModifiedBy>
  <dcterms:modified xsi:type="dcterms:W3CDTF">2026-03-23T19:05:32Z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1033-12.1.0.25242</vt:lpwstr>
  </property>
  <property fmtid="{D5CDD505-2E9C-101B-9397-08002B2CF9AE}" pid="10" name="ICV">
    <vt:lpwstr>2FE14FCC3FEA4B788ACAD11228BD936C_12</vt:lpwstr>
  </property>
  <property fmtid="{D5CDD505-2E9C-101B-9397-08002B2CF9AE}" pid="11" name="KSOTemplateDocerSaveRecord">
    <vt:lpwstr>eyJoZGlkIjoiNTExNmUwZmI2NzRlMjQ5MjE5ZTVjMzM4MDY3MjIyODMiLCJ1c2VySWQiOiIxMjU0ODY1OTA4NzE0In0=</vt:lpwstr>
  </property>
</Properties>
</file>